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D52" w:rsidRPr="00EA343B" w:rsidRDefault="00AE1D52" w:rsidP="00AE1D52">
      <w:pPr>
        <w:jc w:val="center"/>
        <w:rPr>
          <w:rFonts w:ascii="华文中宋" w:eastAsia="华文中宋" w:hAnsi="华文中宋"/>
          <w:b/>
          <w:sz w:val="44"/>
          <w:szCs w:val="44"/>
        </w:rPr>
      </w:pPr>
      <w:r w:rsidRPr="00EA343B">
        <w:rPr>
          <w:rFonts w:ascii="华文中宋" w:eastAsia="华文中宋" w:hAnsi="华文中宋" w:hint="eastAsia"/>
          <w:b/>
          <w:sz w:val="44"/>
          <w:szCs w:val="44"/>
        </w:rPr>
        <w:t>交叉学科</w:t>
      </w:r>
      <w:r w:rsidR="009D1D20" w:rsidRPr="00EA343B">
        <w:rPr>
          <w:rFonts w:ascii="华文中宋" w:eastAsia="华文中宋" w:hAnsi="华文中宋" w:hint="eastAsia"/>
          <w:b/>
          <w:sz w:val="44"/>
          <w:szCs w:val="44"/>
        </w:rPr>
        <w:t>建设进展—民族历史学</w:t>
      </w:r>
    </w:p>
    <w:p w:rsidR="00AE1D52" w:rsidRPr="00AE1D52" w:rsidRDefault="00AE1D52" w:rsidP="00E6089F">
      <w:pPr>
        <w:ind w:firstLineChars="200" w:firstLine="560"/>
        <w:rPr>
          <w:rFonts w:ascii="黑体" w:eastAsia="黑体" w:hAnsi="黑体"/>
          <w:sz w:val="28"/>
          <w:szCs w:val="28"/>
        </w:rPr>
      </w:pPr>
      <w:r w:rsidRPr="00AE1D52">
        <w:rPr>
          <w:rFonts w:ascii="黑体" w:eastAsia="黑体" w:hAnsi="黑体" w:hint="eastAsia"/>
          <w:sz w:val="28"/>
          <w:szCs w:val="28"/>
        </w:rPr>
        <w:t>一、民族历史学交叉学科概况</w:t>
      </w:r>
    </w:p>
    <w:p w:rsidR="009D1D20" w:rsidRDefault="00AE1D52" w:rsidP="009D1D20">
      <w:pPr>
        <w:spacing w:line="480" w:lineRule="exact"/>
        <w:ind w:firstLineChars="200" w:firstLine="560"/>
        <w:rPr>
          <w:rFonts w:ascii="仿宋" w:eastAsia="仿宋" w:hAnsi="仿宋"/>
          <w:sz w:val="28"/>
          <w:szCs w:val="28"/>
        </w:rPr>
      </w:pPr>
      <w:r w:rsidRPr="00AE1D52">
        <w:rPr>
          <w:rFonts w:ascii="仿宋" w:eastAsia="仿宋" w:hAnsi="仿宋" w:hint="eastAsia"/>
          <w:sz w:val="28"/>
          <w:szCs w:val="28"/>
        </w:rPr>
        <w:t>“民族历史学”(Ethnohistory)以民族为主要研究对象，以历史学和民族学为理论依托，以历史文献、口述传统和考古材料为主要工具，利用多维度视角，重点研究全球范围内不同民族的起源、演变、兴衰和民族间相互关系变化的各种过程及其规律，揭示不同民族变迁的历史与现状、民族关系及其所引起的地缘民族关系以及国际关系的变化。</w:t>
      </w:r>
      <w:r>
        <w:rPr>
          <w:rFonts w:ascii="仿宋" w:eastAsia="仿宋" w:hAnsi="仿宋" w:hint="eastAsia"/>
          <w:sz w:val="28"/>
          <w:szCs w:val="28"/>
        </w:rPr>
        <w:t xml:space="preserve"> </w:t>
      </w:r>
    </w:p>
    <w:p w:rsidR="00AE1D52" w:rsidRPr="00AE1D52" w:rsidRDefault="00AE1D52" w:rsidP="009D1D20">
      <w:pPr>
        <w:spacing w:line="480" w:lineRule="exact"/>
        <w:ind w:firstLineChars="200" w:firstLine="560"/>
        <w:rPr>
          <w:rFonts w:ascii="仿宋" w:eastAsia="仿宋" w:hAnsi="仿宋"/>
          <w:sz w:val="28"/>
          <w:szCs w:val="28"/>
        </w:rPr>
      </w:pPr>
      <w:r w:rsidRPr="00AE1D52">
        <w:rPr>
          <w:rFonts w:ascii="仿宋" w:eastAsia="仿宋" w:hAnsi="仿宋" w:hint="eastAsia"/>
          <w:sz w:val="28"/>
          <w:szCs w:val="28"/>
        </w:rPr>
        <w:t>“民族历史学”依托历史学，主要涉及民族学甚至政治学而形成的交叉学科。因民族历史学的学科特点，它更适于研究民族关系复杂的地区或国家历史。所以本交叉学科能够在普遍存在跨界民族的我国西北和中亚及中东地区历史研究中将显示优势，开拓我校世界史学科新的增长点。</w:t>
      </w:r>
    </w:p>
    <w:p w:rsidR="00AE1D52" w:rsidRPr="00AE1D52" w:rsidRDefault="00AE1D52" w:rsidP="00E6089F">
      <w:pPr>
        <w:ind w:firstLineChars="200" w:firstLine="560"/>
        <w:rPr>
          <w:rFonts w:ascii="黑体" w:eastAsia="黑体" w:hAnsi="黑体"/>
          <w:sz w:val="28"/>
          <w:szCs w:val="28"/>
        </w:rPr>
      </w:pPr>
      <w:r w:rsidRPr="00AE1D52">
        <w:rPr>
          <w:rFonts w:ascii="黑体" w:eastAsia="黑体" w:hAnsi="黑体" w:hint="eastAsia"/>
          <w:sz w:val="28"/>
          <w:szCs w:val="28"/>
        </w:rPr>
        <w:t>二、民族历史学交叉学科主要研究方向</w:t>
      </w:r>
    </w:p>
    <w:p w:rsidR="00AE1D52" w:rsidRDefault="00AE1D52" w:rsidP="00E6089F">
      <w:pPr>
        <w:spacing w:line="480" w:lineRule="exact"/>
        <w:ind w:firstLineChars="200" w:firstLine="560"/>
        <w:rPr>
          <w:rFonts w:ascii="仿宋" w:eastAsia="仿宋" w:hAnsi="仿宋"/>
          <w:sz w:val="28"/>
          <w:szCs w:val="28"/>
        </w:rPr>
      </w:pPr>
      <w:r w:rsidRPr="00AE1D52">
        <w:rPr>
          <w:rFonts w:ascii="仿宋" w:eastAsia="仿宋" w:hAnsi="仿宋" w:hint="eastAsia"/>
          <w:sz w:val="28"/>
          <w:szCs w:val="28"/>
        </w:rPr>
        <w:t>“民族历史学”在国内尚处介绍认知阶段，但其学科特性为我们整体研究我国西北、中亚、中东（北层）三地区提供了较为恰当的平台，这三地区地域上联成一片，历史上交往密切，民族上均与突厥民族有千丝万缕的联系，信仰上几乎清一色的伊斯兰教，文化上完全为伊斯兰文化，从“民族历史学”进行整体研究更具科学合理性，从学科建设上也必将深化对“民族历史学”的认识，推动“民族历史学”在国内的发展。</w:t>
      </w:r>
    </w:p>
    <w:p w:rsidR="00AE1D52" w:rsidRPr="00AE1D52" w:rsidRDefault="00AE1D52" w:rsidP="00E6089F">
      <w:pPr>
        <w:spacing w:line="480" w:lineRule="exact"/>
        <w:ind w:firstLineChars="200" w:firstLine="560"/>
        <w:rPr>
          <w:rFonts w:ascii="仿宋" w:eastAsia="仿宋" w:hAnsi="仿宋"/>
          <w:sz w:val="28"/>
          <w:szCs w:val="28"/>
        </w:rPr>
      </w:pPr>
      <w:r w:rsidRPr="00AE1D52">
        <w:rPr>
          <w:rFonts w:ascii="仿宋" w:eastAsia="仿宋" w:hAnsi="仿宋" w:hint="eastAsia"/>
          <w:sz w:val="28"/>
          <w:szCs w:val="28"/>
        </w:rPr>
        <w:t>主要研究方向及方向带头人（名下划线者为方向带头人，后为成员）：</w:t>
      </w:r>
    </w:p>
    <w:p w:rsidR="00AE1D52" w:rsidRPr="00AE1D52" w:rsidRDefault="00AE1D52" w:rsidP="00E6089F">
      <w:pPr>
        <w:spacing w:line="480" w:lineRule="exact"/>
        <w:ind w:firstLineChars="200" w:firstLine="560"/>
        <w:rPr>
          <w:rFonts w:ascii="仿宋" w:eastAsia="仿宋" w:hAnsi="仿宋"/>
          <w:sz w:val="28"/>
          <w:szCs w:val="28"/>
        </w:rPr>
      </w:pPr>
      <w:r w:rsidRPr="00AE1D52">
        <w:rPr>
          <w:rFonts w:ascii="仿宋" w:eastAsia="仿宋" w:hAnsi="仿宋" w:hint="eastAsia"/>
          <w:sz w:val="28"/>
          <w:szCs w:val="28"/>
        </w:rPr>
        <w:t>跨界民族历史学研究：李琪、韩香、王超、李宗俊</w:t>
      </w:r>
    </w:p>
    <w:p w:rsidR="00AE1D52" w:rsidRPr="00AE1D52" w:rsidRDefault="00AE1D52" w:rsidP="00E6089F">
      <w:pPr>
        <w:spacing w:line="480" w:lineRule="exact"/>
        <w:ind w:firstLineChars="200" w:firstLine="560"/>
        <w:rPr>
          <w:rFonts w:ascii="仿宋" w:eastAsia="仿宋" w:hAnsi="仿宋"/>
          <w:sz w:val="28"/>
          <w:szCs w:val="28"/>
        </w:rPr>
      </w:pPr>
      <w:r w:rsidRPr="00AE1D52">
        <w:rPr>
          <w:rFonts w:ascii="仿宋" w:eastAsia="仿宋" w:hAnsi="仿宋" w:hint="eastAsia"/>
          <w:sz w:val="28"/>
          <w:szCs w:val="28"/>
        </w:rPr>
        <w:t>中亚民族历史学研究：马强、哈宝玉、苏晓宇</w:t>
      </w:r>
    </w:p>
    <w:p w:rsidR="00AE1D52" w:rsidRPr="00AE1D52" w:rsidRDefault="00AE1D52" w:rsidP="00E6089F">
      <w:pPr>
        <w:spacing w:line="480" w:lineRule="exact"/>
        <w:ind w:firstLineChars="200" w:firstLine="560"/>
        <w:rPr>
          <w:rFonts w:ascii="仿宋" w:eastAsia="仿宋" w:hAnsi="仿宋"/>
          <w:sz w:val="28"/>
          <w:szCs w:val="28"/>
        </w:rPr>
      </w:pPr>
      <w:r w:rsidRPr="00AE1D52">
        <w:rPr>
          <w:rFonts w:ascii="仿宋" w:eastAsia="仿宋" w:hAnsi="仿宋" w:hint="eastAsia"/>
          <w:sz w:val="28"/>
          <w:szCs w:val="28"/>
        </w:rPr>
        <w:t>地缘民族历史学研究：李秉忠、宋永成、詹晋洁</w:t>
      </w:r>
    </w:p>
    <w:p w:rsidR="00AE1D52" w:rsidRPr="00AE1D52" w:rsidRDefault="00AE1D52" w:rsidP="00E6089F">
      <w:pPr>
        <w:spacing w:line="480" w:lineRule="exact"/>
        <w:ind w:firstLineChars="200" w:firstLine="560"/>
        <w:rPr>
          <w:rFonts w:ascii="仿宋" w:eastAsia="仿宋" w:hAnsi="仿宋"/>
          <w:sz w:val="28"/>
          <w:szCs w:val="28"/>
        </w:rPr>
      </w:pPr>
      <w:r w:rsidRPr="00AE1D52">
        <w:rPr>
          <w:rFonts w:ascii="仿宋" w:eastAsia="仿宋" w:hAnsi="仿宋" w:hint="eastAsia"/>
          <w:sz w:val="28"/>
          <w:szCs w:val="28"/>
        </w:rPr>
        <w:t>中东民族历史学研究：何志龙、韩忠义、霍文勇</w:t>
      </w:r>
    </w:p>
    <w:p w:rsidR="00AE1D52" w:rsidRPr="00E6089F" w:rsidRDefault="00AE1D52" w:rsidP="00E6089F">
      <w:pPr>
        <w:pStyle w:val="a5"/>
        <w:numPr>
          <w:ilvl w:val="0"/>
          <w:numId w:val="6"/>
        </w:numPr>
        <w:ind w:firstLineChars="0"/>
        <w:rPr>
          <w:rFonts w:ascii="黑体" w:eastAsia="黑体" w:hAnsi="黑体"/>
          <w:sz w:val="28"/>
          <w:szCs w:val="28"/>
        </w:rPr>
      </w:pPr>
      <w:r w:rsidRPr="00E6089F">
        <w:rPr>
          <w:rFonts w:ascii="黑体" w:eastAsia="黑体" w:hAnsi="黑体" w:hint="eastAsia"/>
          <w:sz w:val="28"/>
          <w:szCs w:val="28"/>
        </w:rPr>
        <w:lastRenderedPageBreak/>
        <w:t>民族历史学交叉学科成果产出</w:t>
      </w:r>
    </w:p>
    <w:p w:rsidR="00AE1D52" w:rsidRPr="00E6089F" w:rsidRDefault="00AE1D52" w:rsidP="00E6089F">
      <w:pPr>
        <w:pStyle w:val="a5"/>
        <w:numPr>
          <w:ilvl w:val="0"/>
          <w:numId w:val="8"/>
        </w:numPr>
        <w:spacing w:line="480" w:lineRule="exact"/>
        <w:ind w:firstLineChars="0"/>
        <w:rPr>
          <w:rFonts w:ascii="仿宋" w:eastAsia="仿宋" w:hAnsi="仿宋"/>
          <w:b/>
          <w:sz w:val="28"/>
          <w:szCs w:val="28"/>
        </w:rPr>
      </w:pPr>
      <w:r w:rsidRPr="00E6089F">
        <w:rPr>
          <w:rFonts w:ascii="仿宋" w:eastAsia="仿宋" w:hAnsi="仿宋" w:hint="eastAsia"/>
          <w:b/>
          <w:sz w:val="28"/>
          <w:szCs w:val="28"/>
        </w:rPr>
        <w:t>2014年产出的主要研究成果</w:t>
      </w:r>
    </w:p>
    <w:p w:rsidR="00AE1D52" w:rsidRPr="00E6089F" w:rsidRDefault="00E6089F" w:rsidP="00E6089F">
      <w:pPr>
        <w:spacing w:line="480" w:lineRule="exact"/>
        <w:ind w:firstLineChars="200" w:firstLine="560"/>
        <w:rPr>
          <w:rFonts w:ascii="仿宋" w:eastAsia="仿宋" w:hAnsi="仿宋"/>
          <w:sz w:val="28"/>
          <w:szCs w:val="28"/>
        </w:rPr>
      </w:pPr>
      <w:r>
        <w:rPr>
          <w:rFonts w:ascii="仿宋" w:eastAsia="仿宋" w:hAnsi="仿宋" w:hint="eastAsia"/>
          <w:sz w:val="28"/>
          <w:szCs w:val="28"/>
        </w:rPr>
        <w:t>1.</w:t>
      </w:r>
      <w:r w:rsidR="00AE1D52" w:rsidRPr="00E6089F">
        <w:rPr>
          <w:rFonts w:ascii="仿宋" w:eastAsia="仿宋" w:hAnsi="仿宋" w:hint="eastAsia"/>
          <w:sz w:val="28"/>
          <w:szCs w:val="28"/>
        </w:rPr>
        <w:t>哈宝玉：《丝绸之路与伊斯兰经学的东传》，《中国宗教》2014年第7期。</w:t>
      </w:r>
    </w:p>
    <w:p w:rsidR="00AE1D52" w:rsidRPr="00E6089F" w:rsidRDefault="00E6089F" w:rsidP="00E6089F">
      <w:pPr>
        <w:spacing w:line="480" w:lineRule="exact"/>
        <w:ind w:firstLineChars="200" w:firstLine="560"/>
        <w:rPr>
          <w:rFonts w:ascii="仿宋" w:eastAsia="仿宋" w:hAnsi="仿宋"/>
          <w:sz w:val="28"/>
          <w:szCs w:val="28"/>
        </w:rPr>
      </w:pPr>
      <w:r>
        <w:rPr>
          <w:rFonts w:ascii="仿宋" w:eastAsia="仿宋" w:hAnsi="仿宋" w:hint="eastAsia"/>
          <w:sz w:val="28"/>
          <w:szCs w:val="28"/>
        </w:rPr>
        <w:t>2.</w:t>
      </w:r>
      <w:r w:rsidR="00AE1D52" w:rsidRPr="00E6089F">
        <w:rPr>
          <w:rFonts w:ascii="仿宋" w:eastAsia="仿宋" w:hAnsi="仿宋" w:hint="eastAsia"/>
          <w:sz w:val="28"/>
          <w:szCs w:val="28"/>
        </w:rPr>
        <w:t>哈宝玉：《苏菲主义的师道承传及其精神内涵》，《西北民族研究》2014年第3期。</w:t>
      </w:r>
    </w:p>
    <w:p w:rsidR="00AE1D52" w:rsidRPr="00AE1D52" w:rsidRDefault="00AE1D52" w:rsidP="00E6089F">
      <w:pPr>
        <w:spacing w:line="480" w:lineRule="exact"/>
        <w:ind w:firstLineChars="200" w:firstLine="560"/>
        <w:rPr>
          <w:rFonts w:ascii="仿宋" w:eastAsia="仿宋" w:hAnsi="仿宋"/>
          <w:sz w:val="28"/>
          <w:szCs w:val="28"/>
        </w:rPr>
      </w:pPr>
      <w:r w:rsidRPr="00AE1D52">
        <w:rPr>
          <w:rFonts w:ascii="仿宋" w:eastAsia="仿宋" w:hAnsi="仿宋" w:hint="eastAsia"/>
          <w:sz w:val="28"/>
          <w:szCs w:val="28"/>
        </w:rPr>
        <w:t>3</w:t>
      </w:r>
      <w:r w:rsidR="00E6089F">
        <w:rPr>
          <w:rFonts w:ascii="仿宋" w:eastAsia="仿宋" w:hAnsi="仿宋" w:hint="eastAsia"/>
          <w:sz w:val="28"/>
          <w:szCs w:val="28"/>
        </w:rPr>
        <w:t>.</w:t>
      </w:r>
      <w:r w:rsidRPr="00AE1D52">
        <w:rPr>
          <w:rFonts w:ascii="仿宋" w:eastAsia="仿宋" w:hAnsi="仿宋" w:hint="eastAsia"/>
          <w:sz w:val="28"/>
          <w:szCs w:val="28"/>
        </w:rPr>
        <w:t>哈宝玉：《中国伊斯兰经学教育的思想特征》，《青海民族研究》2014年第4期。</w:t>
      </w:r>
    </w:p>
    <w:p w:rsidR="00AE1D52" w:rsidRPr="00AE1D52" w:rsidRDefault="00AE1D52" w:rsidP="00E6089F">
      <w:pPr>
        <w:spacing w:line="480" w:lineRule="exact"/>
        <w:ind w:firstLineChars="200" w:firstLine="560"/>
        <w:rPr>
          <w:rFonts w:ascii="仿宋" w:eastAsia="仿宋" w:hAnsi="仿宋"/>
          <w:sz w:val="28"/>
          <w:szCs w:val="28"/>
        </w:rPr>
      </w:pPr>
      <w:r w:rsidRPr="00AE1D52">
        <w:rPr>
          <w:rFonts w:ascii="仿宋" w:eastAsia="仿宋" w:hAnsi="仿宋" w:hint="eastAsia"/>
          <w:sz w:val="28"/>
          <w:szCs w:val="28"/>
        </w:rPr>
        <w:t>4</w:t>
      </w:r>
      <w:r w:rsidR="00E6089F">
        <w:rPr>
          <w:rFonts w:ascii="仿宋" w:eastAsia="仿宋" w:hAnsi="仿宋" w:hint="eastAsia"/>
          <w:sz w:val="28"/>
          <w:szCs w:val="28"/>
        </w:rPr>
        <w:t>．</w:t>
      </w:r>
      <w:r w:rsidRPr="00AE1D52">
        <w:rPr>
          <w:rFonts w:ascii="仿宋" w:eastAsia="仿宋" w:hAnsi="仿宋" w:hint="eastAsia"/>
          <w:sz w:val="28"/>
          <w:szCs w:val="28"/>
        </w:rPr>
        <w:t>哈宝玉：《马良骏大阿訇的家国思想》，《中国穆斯林》2014年第4期。</w:t>
      </w:r>
    </w:p>
    <w:p w:rsidR="00AE1D52" w:rsidRPr="00AE1D52" w:rsidRDefault="00AE1D52" w:rsidP="00E6089F">
      <w:pPr>
        <w:spacing w:line="480" w:lineRule="exact"/>
        <w:ind w:firstLineChars="200" w:firstLine="560"/>
        <w:rPr>
          <w:rFonts w:ascii="仿宋" w:eastAsia="仿宋" w:hAnsi="仿宋"/>
          <w:sz w:val="28"/>
          <w:szCs w:val="28"/>
        </w:rPr>
      </w:pPr>
      <w:r w:rsidRPr="00AE1D52">
        <w:rPr>
          <w:rFonts w:ascii="仿宋" w:eastAsia="仿宋" w:hAnsi="仿宋" w:hint="eastAsia"/>
          <w:sz w:val="28"/>
          <w:szCs w:val="28"/>
        </w:rPr>
        <w:t>5</w:t>
      </w:r>
      <w:r w:rsidR="00E6089F">
        <w:rPr>
          <w:rFonts w:ascii="仿宋" w:eastAsia="仿宋" w:hAnsi="仿宋" w:hint="eastAsia"/>
          <w:sz w:val="28"/>
          <w:szCs w:val="28"/>
        </w:rPr>
        <w:t>．</w:t>
      </w:r>
      <w:r w:rsidRPr="00AE1D52">
        <w:rPr>
          <w:rFonts w:ascii="仿宋" w:eastAsia="仿宋" w:hAnsi="仿宋" w:hint="eastAsia"/>
          <w:sz w:val="28"/>
          <w:szCs w:val="28"/>
        </w:rPr>
        <w:t>哈宝玉：《约瑟夫</w:t>
      </w:r>
      <w:r w:rsidRPr="00AE1D52">
        <w:rPr>
          <w:rFonts w:ascii="仿宋" w:hint="eastAsia"/>
          <w:sz w:val="28"/>
          <w:szCs w:val="28"/>
        </w:rPr>
        <w:t>•</w:t>
      </w:r>
      <w:r w:rsidRPr="00AE1D52">
        <w:rPr>
          <w:rFonts w:ascii="仿宋" w:eastAsia="仿宋" w:hAnsi="仿宋" w:hint="eastAsia"/>
          <w:sz w:val="28"/>
          <w:szCs w:val="28"/>
        </w:rPr>
        <w:t>弗莱彻教授的蒙古、满清史研究》，《西北民族论丛》第十辑，中国社会科学出版社，2014年，第35期。</w:t>
      </w:r>
    </w:p>
    <w:p w:rsidR="00AE1D52" w:rsidRPr="00AE1D52" w:rsidRDefault="00AE1D52" w:rsidP="00E6089F">
      <w:pPr>
        <w:spacing w:line="480" w:lineRule="exact"/>
        <w:ind w:firstLineChars="200" w:firstLine="560"/>
        <w:rPr>
          <w:rFonts w:ascii="仿宋" w:eastAsia="仿宋" w:hAnsi="仿宋"/>
          <w:sz w:val="28"/>
          <w:szCs w:val="28"/>
        </w:rPr>
      </w:pPr>
      <w:r w:rsidRPr="00AE1D52">
        <w:rPr>
          <w:rFonts w:ascii="仿宋" w:eastAsia="仿宋" w:hAnsi="仿宋" w:hint="eastAsia"/>
          <w:sz w:val="28"/>
          <w:szCs w:val="28"/>
        </w:rPr>
        <w:t>6</w:t>
      </w:r>
      <w:r w:rsidR="00E6089F">
        <w:rPr>
          <w:rFonts w:ascii="仿宋" w:eastAsia="仿宋" w:hAnsi="仿宋" w:hint="eastAsia"/>
          <w:sz w:val="28"/>
          <w:szCs w:val="28"/>
        </w:rPr>
        <w:t>．</w:t>
      </w:r>
      <w:r w:rsidRPr="00AE1D52">
        <w:rPr>
          <w:rFonts w:ascii="仿宋" w:eastAsia="仿宋" w:hAnsi="仿宋" w:hint="eastAsia"/>
          <w:sz w:val="28"/>
          <w:szCs w:val="28"/>
        </w:rPr>
        <w:t>哈宝玉：《略述早期苏菲史补理及其思想》，中国回族学会编：《回族地区全面建成小康社会——第二十一次全国回族学研讨会论文集》，黄河出版传媒集团、宁夏人民出版社，2014年7月。</w:t>
      </w:r>
    </w:p>
    <w:p w:rsidR="00AE1D52" w:rsidRPr="00AE1D52" w:rsidRDefault="00AE1D52" w:rsidP="00E6089F">
      <w:pPr>
        <w:spacing w:line="480" w:lineRule="exact"/>
        <w:ind w:firstLineChars="200" w:firstLine="560"/>
        <w:rPr>
          <w:rFonts w:ascii="仿宋" w:eastAsia="仿宋" w:hAnsi="仿宋"/>
          <w:sz w:val="28"/>
          <w:szCs w:val="28"/>
        </w:rPr>
      </w:pPr>
      <w:r w:rsidRPr="00AE1D52">
        <w:rPr>
          <w:rFonts w:ascii="仿宋" w:eastAsia="仿宋" w:hAnsi="仿宋" w:hint="eastAsia"/>
          <w:sz w:val="28"/>
          <w:szCs w:val="28"/>
        </w:rPr>
        <w:t>7</w:t>
      </w:r>
      <w:r w:rsidR="00E6089F">
        <w:rPr>
          <w:rFonts w:ascii="仿宋" w:eastAsia="仿宋" w:hAnsi="仿宋" w:hint="eastAsia"/>
          <w:sz w:val="28"/>
          <w:szCs w:val="28"/>
        </w:rPr>
        <w:t>．</w:t>
      </w:r>
      <w:r w:rsidRPr="00AE1D52">
        <w:rPr>
          <w:rFonts w:ascii="仿宋" w:eastAsia="仿宋" w:hAnsi="仿宋" w:hint="eastAsia"/>
          <w:sz w:val="28"/>
          <w:szCs w:val="28"/>
        </w:rPr>
        <w:t>哈宝玉：《经学大师的学术贡献》，《中国穆斯林》2014年第6期。</w:t>
      </w:r>
    </w:p>
    <w:p w:rsidR="00AE1D52" w:rsidRPr="00AE1D52" w:rsidRDefault="00AE1D52" w:rsidP="00E6089F">
      <w:pPr>
        <w:spacing w:line="480" w:lineRule="exact"/>
        <w:ind w:firstLineChars="200" w:firstLine="560"/>
        <w:rPr>
          <w:rFonts w:ascii="仿宋" w:eastAsia="仿宋" w:hAnsi="仿宋"/>
          <w:sz w:val="28"/>
          <w:szCs w:val="28"/>
        </w:rPr>
      </w:pPr>
      <w:r w:rsidRPr="00AE1D52">
        <w:rPr>
          <w:rFonts w:ascii="仿宋" w:eastAsia="仿宋" w:hAnsi="仿宋" w:hint="eastAsia"/>
          <w:sz w:val="28"/>
          <w:szCs w:val="28"/>
        </w:rPr>
        <w:t>8</w:t>
      </w:r>
      <w:r w:rsidR="00E6089F">
        <w:rPr>
          <w:rFonts w:ascii="仿宋" w:eastAsia="仿宋" w:hAnsi="仿宋" w:hint="eastAsia"/>
          <w:sz w:val="28"/>
          <w:szCs w:val="28"/>
        </w:rPr>
        <w:t>．</w:t>
      </w:r>
      <w:r w:rsidRPr="00AE1D52">
        <w:rPr>
          <w:rFonts w:ascii="仿宋" w:eastAsia="仿宋" w:hAnsi="仿宋" w:hint="eastAsia"/>
          <w:sz w:val="28"/>
          <w:szCs w:val="28"/>
        </w:rPr>
        <w:t>李秉忠：《土耳其“宝贵孤独”外交及其走向》，《现代国际关系》2014年第3期。</w:t>
      </w:r>
    </w:p>
    <w:p w:rsidR="00AE1D52" w:rsidRPr="00AE1D52" w:rsidRDefault="00AE1D52" w:rsidP="00E6089F">
      <w:pPr>
        <w:spacing w:line="480" w:lineRule="exact"/>
        <w:ind w:firstLineChars="200" w:firstLine="560"/>
        <w:rPr>
          <w:rFonts w:ascii="仿宋" w:eastAsia="仿宋" w:hAnsi="仿宋"/>
          <w:sz w:val="28"/>
          <w:szCs w:val="28"/>
        </w:rPr>
      </w:pPr>
      <w:r w:rsidRPr="00AE1D52">
        <w:rPr>
          <w:rFonts w:ascii="仿宋" w:eastAsia="仿宋" w:hAnsi="仿宋" w:hint="eastAsia"/>
          <w:sz w:val="28"/>
          <w:szCs w:val="28"/>
        </w:rPr>
        <w:t>9</w:t>
      </w:r>
      <w:r w:rsidR="00E6089F">
        <w:rPr>
          <w:rFonts w:ascii="仿宋" w:eastAsia="仿宋" w:hAnsi="仿宋" w:hint="eastAsia"/>
          <w:sz w:val="28"/>
          <w:szCs w:val="28"/>
        </w:rPr>
        <w:t>．</w:t>
      </w:r>
      <w:r w:rsidRPr="00AE1D52">
        <w:rPr>
          <w:rFonts w:ascii="仿宋" w:eastAsia="仿宋" w:hAnsi="仿宋" w:hint="eastAsia"/>
          <w:sz w:val="28"/>
          <w:szCs w:val="28"/>
        </w:rPr>
        <w:t>李秉忠：《库尔德民族主义反抗土耳其民族主义:1925年谢赫塞义德叛乱》,《陕西师范大学学报》2014年第6期</w:t>
      </w:r>
    </w:p>
    <w:p w:rsidR="00AE1D52" w:rsidRPr="00AE1D52" w:rsidRDefault="00AE1D52" w:rsidP="00E6089F">
      <w:pPr>
        <w:spacing w:line="480" w:lineRule="exact"/>
        <w:ind w:firstLineChars="200" w:firstLine="560"/>
        <w:rPr>
          <w:rFonts w:ascii="仿宋" w:eastAsia="仿宋" w:hAnsi="仿宋"/>
          <w:sz w:val="28"/>
          <w:szCs w:val="28"/>
        </w:rPr>
      </w:pPr>
      <w:r w:rsidRPr="00AE1D52">
        <w:rPr>
          <w:rFonts w:ascii="仿宋" w:eastAsia="仿宋" w:hAnsi="仿宋" w:hint="eastAsia"/>
          <w:sz w:val="28"/>
          <w:szCs w:val="28"/>
        </w:rPr>
        <w:t>10</w:t>
      </w:r>
      <w:r w:rsidR="00E6089F">
        <w:rPr>
          <w:rFonts w:ascii="仿宋" w:eastAsia="仿宋" w:hAnsi="仿宋" w:hint="eastAsia"/>
          <w:sz w:val="28"/>
          <w:szCs w:val="28"/>
        </w:rPr>
        <w:t>．</w:t>
      </w:r>
      <w:r w:rsidRPr="00AE1D52">
        <w:rPr>
          <w:rFonts w:ascii="仿宋" w:eastAsia="仿宋" w:hAnsi="仿宋" w:hint="eastAsia"/>
          <w:sz w:val="28"/>
          <w:szCs w:val="28"/>
        </w:rPr>
        <w:t>李秉忠：《“伊姆拉勒进程”和土耳其库尔德问题前景，《土耳其发展报告（2014）》，社会科学文献出版社，2014年。</w:t>
      </w:r>
    </w:p>
    <w:p w:rsidR="00AE1D52" w:rsidRPr="00AE1D52" w:rsidRDefault="00AE1D52" w:rsidP="00E6089F">
      <w:pPr>
        <w:spacing w:line="480" w:lineRule="exact"/>
        <w:ind w:firstLineChars="200" w:firstLine="560"/>
        <w:rPr>
          <w:rFonts w:ascii="仿宋" w:eastAsia="仿宋" w:hAnsi="仿宋"/>
          <w:sz w:val="28"/>
          <w:szCs w:val="28"/>
        </w:rPr>
      </w:pPr>
      <w:r w:rsidRPr="00AE1D52">
        <w:rPr>
          <w:rFonts w:ascii="仿宋" w:eastAsia="仿宋" w:hAnsi="仿宋" w:hint="eastAsia"/>
          <w:sz w:val="28"/>
          <w:szCs w:val="28"/>
        </w:rPr>
        <w:t>11</w:t>
      </w:r>
      <w:r w:rsidR="00E6089F">
        <w:rPr>
          <w:rFonts w:ascii="仿宋" w:eastAsia="仿宋" w:hAnsi="仿宋" w:hint="eastAsia"/>
          <w:sz w:val="28"/>
          <w:szCs w:val="28"/>
        </w:rPr>
        <w:t>．</w:t>
      </w:r>
      <w:r w:rsidRPr="00AE1D52">
        <w:rPr>
          <w:rFonts w:ascii="仿宋" w:eastAsia="仿宋" w:hAnsi="仿宋" w:hint="eastAsia"/>
          <w:sz w:val="28"/>
          <w:szCs w:val="28"/>
        </w:rPr>
        <w:t>何志龙：《塞浦路斯加入欧盟进程探析》，《陕西师范大学学报》2014年第6期。</w:t>
      </w:r>
    </w:p>
    <w:p w:rsidR="00AE1D52" w:rsidRPr="00AE1D52" w:rsidRDefault="00AE1D52" w:rsidP="00E6089F">
      <w:pPr>
        <w:spacing w:line="480" w:lineRule="exact"/>
        <w:ind w:firstLineChars="200" w:firstLine="560"/>
        <w:rPr>
          <w:rFonts w:ascii="仿宋" w:eastAsia="仿宋" w:hAnsi="仿宋"/>
          <w:sz w:val="28"/>
          <w:szCs w:val="28"/>
        </w:rPr>
      </w:pPr>
      <w:r w:rsidRPr="00AE1D52">
        <w:rPr>
          <w:rFonts w:ascii="仿宋" w:eastAsia="仿宋" w:hAnsi="仿宋" w:hint="eastAsia"/>
          <w:sz w:val="28"/>
          <w:szCs w:val="28"/>
        </w:rPr>
        <w:t>12</w:t>
      </w:r>
      <w:r w:rsidR="00E6089F">
        <w:rPr>
          <w:rFonts w:ascii="仿宋" w:eastAsia="仿宋" w:hAnsi="仿宋" w:hint="eastAsia"/>
          <w:sz w:val="28"/>
          <w:szCs w:val="28"/>
        </w:rPr>
        <w:t>．</w:t>
      </w:r>
      <w:r w:rsidRPr="00AE1D52">
        <w:rPr>
          <w:rFonts w:ascii="仿宋" w:eastAsia="仿宋" w:hAnsi="仿宋" w:hint="eastAsia"/>
          <w:sz w:val="28"/>
          <w:szCs w:val="28"/>
        </w:rPr>
        <w:t>马强：《大散居与小聚居情境中的寺坊:陕西省西乡县伊斯兰教现状调查》，《回族研究》2014年第3期。</w:t>
      </w:r>
    </w:p>
    <w:p w:rsidR="00AE1D52" w:rsidRPr="00AE1D52" w:rsidRDefault="00AE1D52" w:rsidP="00E6089F">
      <w:pPr>
        <w:spacing w:line="480" w:lineRule="exact"/>
        <w:ind w:firstLineChars="200" w:firstLine="560"/>
        <w:rPr>
          <w:rFonts w:ascii="仿宋" w:eastAsia="仿宋" w:hAnsi="仿宋"/>
          <w:sz w:val="28"/>
          <w:szCs w:val="28"/>
        </w:rPr>
      </w:pPr>
      <w:r w:rsidRPr="00AE1D52">
        <w:rPr>
          <w:rFonts w:ascii="仿宋" w:eastAsia="仿宋" w:hAnsi="仿宋" w:hint="eastAsia"/>
          <w:sz w:val="28"/>
          <w:szCs w:val="28"/>
        </w:rPr>
        <w:t>13</w:t>
      </w:r>
      <w:r w:rsidR="00E6089F">
        <w:rPr>
          <w:rFonts w:ascii="仿宋" w:eastAsia="仿宋" w:hAnsi="仿宋" w:hint="eastAsia"/>
          <w:sz w:val="28"/>
          <w:szCs w:val="28"/>
        </w:rPr>
        <w:t>．</w:t>
      </w:r>
      <w:r w:rsidRPr="00AE1D52">
        <w:rPr>
          <w:rFonts w:ascii="仿宋" w:eastAsia="仿宋" w:hAnsi="仿宋" w:hint="eastAsia"/>
          <w:sz w:val="28"/>
          <w:szCs w:val="28"/>
        </w:rPr>
        <w:t>马强：《中国和马来西亚穆斯林交流的历史回顾与深远意义》，</w:t>
      </w:r>
      <w:r w:rsidRPr="00AE1D52">
        <w:rPr>
          <w:rFonts w:ascii="仿宋" w:eastAsia="仿宋" w:hAnsi="仿宋" w:hint="eastAsia"/>
          <w:sz w:val="28"/>
          <w:szCs w:val="28"/>
        </w:rPr>
        <w:lastRenderedPageBreak/>
        <w:t>《中国穆斯林》2014年第5期。</w:t>
      </w:r>
    </w:p>
    <w:p w:rsidR="00AE1D52" w:rsidRPr="00AE1D52" w:rsidRDefault="00AE1D52" w:rsidP="00E6089F">
      <w:pPr>
        <w:spacing w:line="480" w:lineRule="exact"/>
        <w:ind w:firstLineChars="200" w:firstLine="560"/>
        <w:rPr>
          <w:rFonts w:ascii="仿宋" w:eastAsia="仿宋" w:hAnsi="仿宋"/>
          <w:sz w:val="28"/>
          <w:szCs w:val="28"/>
        </w:rPr>
      </w:pPr>
      <w:r w:rsidRPr="00AE1D52">
        <w:rPr>
          <w:rFonts w:ascii="仿宋" w:eastAsia="仿宋" w:hAnsi="仿宋" w:hint="eastAsia"/>
          <w:sz w:val="28"/>
          <w:szCs w:val="28"/>
        </w:rPr>
        <w:t>14</w:t>
      </w:r>
      <w:r w:rsidR="00E6089F">
        <w:rPr>
          <w:rFonts w:ascii="仿宋" w:eastAsia="仿宋" w:hAnsi="仿宋" w:hint="eastAsia"/>
          <w:sz w:val="28"/>
          <w:szCs w:val="28"/>
        </w:rPr>
        <w:t>．</w:t>
      </w:r>
      <w:r w:rsidRPr="00AE1D52">
        <w:rPr>
          <w:rFonts w:ascii="仿宋" w:eastAsia="仿宋" w:hAnsi="仿宋" w:hint="eastAsia"/>
          <w:sz w:val="28"/>
          <w:szCs w:val="28"/>
        </w:rPr>
        <w:t xml:space="preserve">李琪：《“丝绸之路经济带”建设中我国与中亚国家能源合作与安全面临的问题、难点与对策》，《成果要报》陕西省哲学社会科学规划办，2014年第3期。 </w:t>
      </w:r>
    </w:p>
    <w:p w:rsidR="00AE1D52" w:rsidRPr="00AE1D52" w:rsidRDefault="00AE1D52" w:rsidP="00E6089F">
      <w:pPr>
        <w:spacing w:line="480" w:lineRule="exact"/>
        <w:ind w:firstLineChars="200" w:firstLine="560"/>
        <w:rPr>
          <w:rFonts w:ascii="仿宋" w:eastAsia="仿宋" w:hAnsi="仿宋"/>
          <w:sz w:val="28"/>
          <w:szCs w:val="28"/>
        </w:rPr>
      </w:pPr>
      <w:r w:rsidRPr="00AE1D52">
        <w:rPr>
          <w:rFonts w:ascii="仿宋" w:eastAsia="仿宋" w:hAnsi="仿宋" w:hint="eastAsia"/>
          <w:sz w:val="28"/>
          <w:szCs w:val="28"/>
        </w:rPr>
        <w:t>1</w:t>
      </w:r>
      <w:r w:rsidR="00E6089F">
        <w:rPr>
          <w:rFonts w:ascii="仿宋" w:eastAsia="仿宋" w:hAnsi="仿宋" w:hint="eastAsia"/>
          <w:sz w:val="28"/>
          <w:szCs w:val="28"/>
        </w:rPr>
        <w:t>5.</w:t>
      </w:r>
      <w:r w:rsidRPr="00AE1D52">
        <w:rPr>
          <w:rFonts w:ascii="仿宋" w:eastAsia="仿宋" w:hAnsi="仿宋" w:hint="eastAsia"/>
          <w:sz w:val="28"/>
          <w:szCs w:val="28"/>
        </w:rPr>
        <w:t>霍文勇：《从那布到那迪图：古巴比伦时期的女书吏》，《中国社会科学报》2014年6月25日。</w:t>
      </w:r>
    </w:p>
    <w:p w:rsidR="00AE1D52" w:rsidRPr="00AE1D52" w:rsidRDefault="00AE1D52" w:rsidP="00E6089F">
      <w:pPr>
        <w:spacing w:line="480" w:lineRule="exact"/>
        <w:ind w:firstLineChars="200" w:firstLine="560"/>
        <w:rPr>
          <w:rFonts w:ascii="仿宋" w:eastAsia="仿宋" w:hAnsi="仿宋"/>
          <w:sz w:val="28"/>
          <w:szCs w:val="28"/>
        </w:rPr>
      </w:pPr>
      <w:r w:rsidRPr="00AE1D52">
        <w:rPr>
          <w:rFonts w:ascii="仿宋" w:eastAsia="仿宋" w:hAnsi="仿宋" w:hint="eastAsia"/>
          <w:sz w:val="28"/>
          <w:szCs w:val="28"/>
        </w:rPr>
        <w:t>1</w:t>
      </w:r>
      <w:r w:rsidR="00E6089F">
        <w:rPr>
          <w:rFonts w:ascii="仿宋" w:eastAsia="仿宋" w:hAnsi="仿宋" w:hint="eastAsia"/>
          <w:sz w:val="28"/>
          <w:szCs w:val="28"/>
        </w:rPr>
        <w:t>6.</w:t>
      </w:r>
      <w:r w:rsidRPr="00AE1D52">
        <w:rPr>
          <w:rFonts w:ascii="仿宋" w:eastAsia="仿宋" w:hAnsi="仿宋" w:hint="eastAsia"/>
          <w:sz w:val="28"/>
          <w:szCs w:val="28"/>
        </w:rPr>
        <w:t>韩中义：《欧亚与西北研究辑》，兰州大学出版社，2014年10月。</w:t>
      </w:r>
    </w:p>
    <w:p w:rsidR="00AE1D52" w:rsidRPr="00AE1D52" w:rsidRDefault="00AE1D52" w:rsidP="00E6089F">
      <w:pPr>
        <w:spacing w:line="480" w:lineRule="exact"/>
        <w:ind w:firstLineChars="200" w:firstLine="560"/>
        <w:rPr>
          <w:rFonts w:ascii="仿宋" w:eastAsia="仿宋" w:hAnsi="仿宋"/>
          <w:sz w:val="28"/>
          <w:szCs w:val="28"/>
        </w:rPr>
      </w:pPr>
      <w:r w:rsidRPr="00AE1D52">
        <w:rPr>
          <w:rFonts w:ascii="仿宋" w:eastAsia="仿宋" w:hAnsi="仿宋" w:hint="eastAsia"/>
          <w:sz w:val="28"/>
          <w:szCs w:val="28"/>
        </w:rPr>
        <w:t>1</w:t>
      </w:r>
      <w:r w:rsidR="00E6089F">
        <w:rPr>
          <w:rFonts w:ascii="仿宋" w:eastAsia="仿宋" w:hAnsi="仿宋" w:hint="eastAsia"/>
          <w:sz w:val="28"/>
          <w:szCs w:val="28"/>
        </w:rPr>
        <w:t>7.</w:t>
      </w:r>
      <w:r w:rsidRPr="00AE1D52">
        <w:rPr>
          <w:rFonts w:ascii="仿宋" w:eastAsia="仿宋" w:hAnsi="仿宋" w:hint="eastAsia"/>
          <w:sz w:val="28"/>
          <w:szCs w:val="28"/>
        </w:rPr>
        <w:t>韩中义：《通往巴格达——回族先民的商业之路》，《回族对中阿经济文化交流的贡献：第二十次全国回族学研讨会论文集》，宁夏人出版社，2013年8月。</w:t>
      </w:r>
    </w:p>
    <w:p w:rsidR="00AE1D52" w:rsidRPr="00AE1D52" w:rsidRDefault="00E6089F" w:rsidP="00E6089F">
      <w:pPr>
        <w:spacing w:line="480" w:lineRule="exact"/>
        <w:ind w:firstLineChars="200" w:firstLine="560"/>
        <w:rPr>
          <w:rFonts w:ascii="仿宋" w:eastAsia="仿宋" w:hAnsi="仿宋"/>
          <w:sz w:val="28"/>
          <w:szCs w:val="28"/>
        </w:rPr>
      </w:pPr>
      <w:r>
        <w:rPr>
          <w:rFonts w:ascii="仿宋" w:eastAsia="仿宋" w:hAnsi="仿宋" w:hint="eastAsia"/>
          <w:sz w:val="28"/>
          <w:szCs w:val="28"/>
        </w:rPr>
        <w:t>18.</w:t>
      </w:r>
      <w:r w:rsidR="00AE1D52" w:rsidRPr="00AE1D52">
        <w:rPr>
          <w:rFonts w:ascii="仿宋" w:eastAsia="仿宋" w:hAnsi="仿宋" w:hint="eastAsia"/>
          <w:sz w:val="28"/>
          <w:szCs w:val="28"/>
        </w:rPr>
        <w:t>韩中义：《中国宗教信仰自由政策与对外宣传略谈》，《当代中国民族宗教问题研究》(第7集)，宗教文化出版社，2013年1月。</w:t>
      </w:r>
    </w:p>
    <w:p w:rsidR="00AE1D52" w:rsidRPr="00AE1D52" w:rsidRDefault="00E6089F" w:rsidP="00E6089F">
      <w:pPr>
        <w:spacing w:line="480" w:lineRule="exact"/>
        <w:ind w:firstLineChars="200" w:firstLine="560"/>
        <w:rPr>
          <w:rFonts w:ascii="仿宋" w:eastAsia="仿宋" w:hAnsi="仿宋"/>
          <w:sz w:val="28"/>
          <w:szCs w:val="28"/>
        </w:rPr>
      </w:pPr>
      <w:r>
        <w:rPr>
          <w:rFonts w:ascii="仿宋" w:eastAsia="仿宋" w:hAnsi="仿宋" w:hint="eastAsia"/>
          <w:sz w:val="28"/>
          <w:szCs w:val="28"/>
        </w:rPr>
        <w:t>19.</w:t>
      </w:r>
      <w:r w:rsidR="00AE1D52" w:rsidRPr="00AE1D52">
        <w:rPr>
          <w:rFonts w:ascii="仿宋" w:eastAsia="仿宋" w:hAnsi="仿宋" w:hint="eastAsia"/>
          <w:sz w:val="28"/>
          <w:szCs w:val="28"/>
        </w:rPr>
        <w:t>韩中义：《多元民族文化中的唐汪唐姓姓氏考察》，《元史及民族与边疆研究集刊》（26辑），上海古籍出版社，2013年12月。</w:t>
      </w:r>
    </w:p>
    <w:p w:rsidR="00AE1D52" w:rsidRPr="00AE1D52" w:rsidRDefault="00E6089F" w:rsidP="00E6089F">
      <w:pPr>
        <w:spacing w:line="480" w:lineRule="exact"/>
        <w:ind w:firstLineChars="200" w:firstLine="560"/>
        <w:rPr>
          <w:rFonts w:ascii="仿宋" w:eastAsia="仿宋" w:hAnsi="仿宋"/>
          <w:sz w:val="28"/>
          <w:szCs w:val="28"/>
        </w:rPr>
      </w:pPr>
      <w:r>
        <w:rPr>
          <w:rFonts w:ascii="仿宋" w:eastAsia="仿宋" w:hAnsi="仿宋" w:hint="eastAsia"/>
          <w:sz w:val="28"/>
          <w:szCs w:val="28"/>
        </w:rPr>
        <w:t>20.</w:t>
      </w:r>
      <w:r w:rsidR="00AE1D52" w:rsidRPr="00AE1D52">
        <w:rPr>
          <w:rFonts w:ascii="仿宋" w:eastAsia="仿宋" w:hAnsi="仿宋" w:hint="eastAsia"/>
          <w:sz w:val="28"/>
          <w:szCs w:val="28"/>
        </w:rPr>
        <w:t xml:space="preserve">王超：《跨国民族文化适应与传承研究》， 中国社会科学出版社，2013年 。 </w:t>
      </w:r>
    </w:p>
    <w:p w:rsidR="00AE1D52" w:rsidRPr="006514D6" w:rsidRDefault="00025887" w:rsidP="00E6089F">
      <w:pPr>
        <w:pStyle w:val="a5"/>
        <w:numPr>
          <w:ilvl w:val="0"/>
          <w:numId w:val="7"/>
        </w:numPr>
        <w:spacing w:line="480" w:lineRule="exact"/>
        <w:ind w:firstLineChars="0"/>
        <w:rPr>
          <w:rFonts w:ascii="仿宋" w:eastAsia="仿宋" w:hAnsi="仿宋"/>
          <w:b/>
          <w:sz w:val="28"/>
          <w:szCs w:val="28"/>
        </w:rPr>
      </w:pPr>
      <w:r w:rsidRPr="006514D6">
        <w:rPr>
          <w:rFonts w:ascii="仿宋" w:eastAsia="仿宋" w:hAnsi="仿宋" w:hint="eastAsia"/>
          <w:b/>
          <w:sz w:val="28"/>
          <w:szCs w:val="28"/>
        </w:rPr>
        <w:t>获得的主要课题资助</w:t>
      </w:r>
    </w:p>
    <w:p w:rsidR="00AE1D52" w:rsidRPr="00AE1D52" w:rsidRDefault="00AE1D52" w:rsidP="00E6089F">
      <w:pPr>
        <w:spacing w:line="480" w:lineRule="exact"/>
        <w:ind w:firstLineChars="200" w:firstLine="560"/>
        <w:rPr>
          <w:rFonts w:ascii="仿宋" w:eastAsia="仿宋" w:hAnsi="仿宋"/>
          <w:sz w:val="28"/>
          <w:szCs w:val="28"/>
        </w:rPr>
      </w:pPr>
      <w:r w:rsidRPr="00AE1D52">
        <w:rPr>
          <w:rFonts w:ascii="仿宋" w:eastAsia="仿宋" w:hAnsi="仿宋" w:hint="eastAsia"/>
          <w:sz w:val="28"/>
          <w:szCs w:val="28"/>
        </w:rPr>
        <w:t>1</w:t>
      </w:r>
      <w:r w:rsidR="00E6089F">
        <w:rPr>
          <w:rFonts w:ascii="仿宋" w:eastAsia="仿宋" w:hAnsi="仿宋" w:hint="eastAsia"/>
          <w:sz w:val="28"/>
          <w:szCs w:val="28"/>
        </w:rPr>
        <w:t>．</w:t>
      </w:r>
      <w:r w:rsidRPr="00AE1D52">
        <w:rPr>
          <w:rFonts w:ascii="仿宋" w:eastAsia="仿宋" w:hAnsi="仿宋" w:hint="eastAsia"/>
          <w:sz w:val="28"/>
          <w:szCs w:val="28"/>
        </w:rPr>
        <w:t xml:space="preserve">宋永成：苏联犹太人研究，国家社科基金一般项目。2014年立项。 </w:t>
      </w:r>
    </w:p>
    <w:p w:rsidR="00AE1D52" w:rsidRPr="00AE1D52" w:rsidRDefault="00AE1D52" w:rsidP="00E6089F">
      <w:pPr>
        <w:spacing w:line="480" w:lineRule="exact"/>
        <w:ind w:firstLineChars="200" w:firstLine="560"/>
        <w:rPr>
          <w:rFonts w:ascii="仿宋" w:eastAsia="仿宋" w:hAnsi="仿宋"/>
          <w:sz w:val="28"/>
          <w:szCs w:val="28"/>
        </w:rPr>
      </w:pPr>
      <w:r w:rsidRPr="00AE1D52">
        <w:rPr>
          <w:rFonts w:ascii="仿宋" w:eastAsia="仿宋" w:hAnsi="仿宋" w:hint="eastAsia"/>
          <w:sz w:val="28"/>
          <w:szCs w:val="28"/>
        </w:rPr>
        <w:t>2</w:t>
      </w:r>
      <w:r w:rsidR="00E6089F">
        <w:rPr>
          <w:rFonts w:ascii="仿宋" w:eastAsia="仿宋" w:hAnsi="仿宋" w:hint="eastAsia"/>
          <w:sz w:val="28"/>
          <w:szCs w:val="28"/>
        </w:rPr>
        <w:t>.</w:t>
      </w:r>
      <w:r w:rsidRPr="00AE1D52">
        <w:rPr>
          <w:rFonts w:ascii="仿宋" w:eastAsia="仿宋" w:hAnsi="仿宋" w:hint="eastAsia"/>
          <w:sz w:val="28"/>
          <w:szCs w:val="28"/>
        </w:rPr>
        <w:t xml:space="preserve">霍文勇：《埃什嫩那法典》的汉译与研究，国家社科基金青年项目。2014年立项。 </w:t>
      </w:r>
    </w:p>
    <w:p w:rsidR="00E215CD" w:rsidRDefault="00AE1D52" w:rsidP="00E6089F">
      <w:pPr>
        <w:spacing w:line="480" w:lineRule="exact"/>
        <w:ind w:firstLineChars="200" w:firstLine="560"/>
        <w:rPr>
          <w:rFonts w:ascii="仿宋" w:eastAsia="仿宋" w:hAnsi="仿宋"/>
          <w:sz w:val="28"/>
          <w:szCs w:val="28"/>
        </w:rPr>
      </w:pPr>
      <w:r w:rsidRPr="00AE1D52">
        <w:rPr>
          <w:rFonts w:ascii="仿宋" w:eastAsia="仿宋" w:hAnsi="仿宋" w:hint="eastAsia"/>
          <w:sz w:val="28"/>
          <w:szCs w:val="28"/>
        </w:rPr>
        <w:t>另外，策划由中国社会科学出版社出版“丝绸之路历史文化研究丛书”，目前已有两部书稿送到出版社。</w:t>
      </w:r>
    </w:p>
    <w:p w:rsidR="006514D6" w:rsidRPr="006514D6" w:rsidRDefault="009D3BD8" w:rsidP="009D3BD8">
      <w:pPr>
        <w:pStyle w:val="a5"/>
        <w:autoSpaceDN w:val="0"/>
        <w:spacing w:line="480" w:lineRule="exact"/>
        <w:ind w:left="420" w:firstLineChars="0" w:firstLine="0"/>
        <w:rPr>
          <w:rFonts w:ascii="仿宋" w:eastAsia="仿宋" w:hAnsi="仿宋"/>
          <w:b/>
          <w:sz w:val="28"/>
          <w:szCs w:val="28"/>
        </w:rPr>
      </w:pPr>
      <w:r>
        <w:rPr>
          <w:rFonts w:ascii="仿宋" w:eastAsia="仿宋" w:hAnsi="仿宋" w:hint="eastAsia"/>
          <w:b/>
          <w:sz w:val="28"/>
          <w:szCs w:val="28"/>
        </w:rPr>
        <w:t>（三）</w:t>
      </w:r>
      <w:r w:rsidR="006514D6">
        <w:rPr>
          <w:rFonts w:ascii="仿宋" w:eastAsia="仿宋" w:hAnsi="仿宋" w:hint="eastAsia"/>
          <w:b/>
          <w:sz w:val="28"/>
          <w:szCs w:val="28"/>
        </w:rPr>
        <w:t>主要学术活动</w:t>
      </w:r>
    </w:p>
    <w:p w:rsidR="006514D6" w:rsidRPr="00E6089F" w:rsidRDefault="00E6089F" w:rsidP="00E6089F">
      <w:pPr>
        <w:spacing w:line="480" w:lineRule="exact"/>
        <w:ind w:firstLineChars="200" w:firstLine="560"/>
        <w:rPr>
          <w:rFonts w:ascii="仿宋" w:eastAsia="仿宋" w:hAnsi="仿宋"/>
          <w:sz w:val="28"/>
          <w:szCs w:val="28"/>
        </w:rPr>
      </w:pPr>
      <w:r>
        <w:rPr>
          <w:rFonts w:ascii="仿宋" w:eastAsia="仿宋" w:hAnsi="仿宋" w:hint="eastAsia"/>
          <w:sz w:val="28"/>
          <w:szCs w:val="28"/>
        </w:rPr>
        <w:t>1.</w:t>
      </w:r>
      <w:r w:rsidR="006514D6" w:rsidRPr="00E6089F">
        <w:rPr>
          <w:rFonts w:ascii="仿宋" w:eastAsia="仿宋" w:hAnsi="仿宋" w:hint="eastAsia"/>
          <w:sz w:val="28"/>
          <w:szCs w:val="28"/>
        </w:rPr>
        <w:t>2014年9月12日，交叉学科“民族历史学”研究团队同牛津大学“中东—中亚问题研究”学术代表团在启夏苑二层会议室召开“今日中亚—中东：聚焦于族裔、宗教和外交”学术研讨会。牛津大学学术代表团成员有英国埃克塞特大学资深教授Tim Niblock，牛津大学</w:t>
      </w:r>
      <w:r w:rsidR="006514D6" w:rsidRPr="00E6089F">
        <w:rPr>
          <w:rFonts w:ascii="仿宋" w:eastAsia="仿宋" w:hAnsi="仿宋" w:hint="eastAsia"/>
          <w:sz w:val="28"/>
          <w:szCs w:val="28"/>
        </w:rPr>
        <w:lastRenderedPageBreak/>
        <w:t>教授Philip Robins和Michael Willis。本交叉学科成员以及相关专业研究生。研讨会围绕丝绸之路经济带建设问题、中东极端主义组织“伊斯兰国”问题、中东的宗教与世俗化、中东与中亚热点问题、库尔德人建国的前景、阿富汗问题等展开了富有成效的研讨，促进了两校之间的学术交流，推动了“民族历史学”研究的深化。</w:t>
      </w:r>
    </w:p>
    <w:p w:rsidR="006514D6" w:rsidRPr="00476050" w:rsidRDefault="006514D6" w:rsidP="00E6089F">
      <w:pPr>
        <w:autoSpaceDN w:val="0"/>
        <w:spacing w:line="240" w:lineRule="atLeast"/>
        <w:ind w:left="360" w:firstLineChars="200" w:firstLine="420"/>
        <w:jc w:val="center"/>
        <w:rPr>
          <w:rFonts w:ascii="楷体" w:eastAsia="楷体" w:hAnsi="楷体"/>
          <w:bCs/>
          <w:color w:val="000000"/>
          <w:szCs w:val="21"/>
        </w:rPr>
      </w:pPr>
      <w:r w:rsidRPr="00476050">
        <w:rPr>
          <w:rFonts w:ascii="楷体" w:eastAsia="楷体" w:hAnsi="楷体"/>
          <w:bCs/>
          <w:noProof/>
          <w:color w:val="000000"/>
          <w:szCs w:val="21"/>
        </w:rPr>
        <w:drawing>
          <wp:anchor distT="0" distB="0" distL="114300" distR="114300" simplePos="0" relativeHeight="251658240" behindDoc="0" locked="0" layoutInCell="1" allowOverlap="1">
            <wp:simplePos x="0" y="0"/>
            <wp:positionH relativeFrom="column">
              <wp:posOffset>204470</wp:posOffset>
            </wp:positionH>
            <wp:positionV relativeFrom="paragraph">
              <wp:posOffset>76200</wp:posOffset>
            </wp:positionV>
            <wp:extent cx="4738370" cy="3162300"/>
            <wp:effectExtent l="19050" t="0" r="5080" b="0"/>
            <wp:wrapSquare wrapText="bothSides"/>
            <wp:docPr id="1" name="图片 1" descr="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266"/>
                    <pic:cNvPicPr>
                      <a:picLocks noChangeAspect="1" noChangeArrowheads="1"/>
                    </pic:cNvPicPr>
                  </pic:nvPicPr>
                  <pic:blipFill>
                    <a:blip r:embed="rId7" cstate="print"/>
                    <a:srcRect/>
                    <a:stretch>
                      <a:fillRect/>
                    </a:stretch>
                  </pic:blipFill>
                  <pic:spPr bwMode="auto">
                    <a:xfrm>
                      <a:off x="0" y="0"/>
                      <a:ext cx="4738370" cy="3162300"/>
                    </a:xfrm>
                    <a:prstGeom prst="rect">
                      <a:avLst/>
                    </a:prstGeom>
                    <a:noFill/>
                    <a:ln w="9525">
                      <a:noFill/>
                      <a:miter lim="800000"/>
                      <a:headEnd/>
                      <a:tailEnd/>
                    </a:ln>
                  </pic:spPr>
                </pic:pic>
              </a:graphicData>
            </a:graphic>
          </wp:anchor>
        </w:drawing>
      </w:r>
      <w:r w:rsidRPr="00476050">
        <w:rPr>
          <w:rFonts w:ascii="楷体" w:eastAsia="楷体" w:hAnsi="楷体" w:hint="eastAsia"/>
          <w:bCs/>
          <w:color w:val="000000"/>
          <w:szCs w:val="21"/>
        </w:rPr>
        <w:t>今日中亚—中东：聚焦于族裔、宗教和外交”学术研讨会合影</w:t>
      </w:r>
    </w:p>
    <w:p w:rsidR="006514D6" w:rsidRPr="006514D6" w:rsidRDefault="00E6089F" w:rsidP="00E6089F">
      <w:pPr>
        <w:pStyle w:val="a5"/>
        <w:spacing w:line="480" w:lineRule="exact"/>
        <w:ind w:firstLine="560"/>
        <w:rPr>
          <w:rFonts w:ascii="仿宋" w:eastAsia="仿宋" w:hAnsi="仿宋"/>
          <w:sz w:val="28"/>
          <w:szCs w:val="28"/>
        </w:rPr>
      </w:pPr>
      <w:r>
        <w:rPr>
          <w:rFonts w:ascii="仿宋" w:eastAsia="仿宋" w:hAnsi="仿宋" w:hint="eastAsia"/>
          <w:sz w:val="28"/>
          <w:szCs w:val="28"/>
        </w:rPr>
        <w:t>2.</w:t>
      </w:r>
      <w:r w:rsidR="006514D6" w:rsidRPr="006514D6">
        <w:rPr>
          <w:rFonts w:ascii="仿宋" w:eastAsia="仿宋" w:hAnsi="仿宋" w:hint="eastAsia"/>
          <w:sz w:val="28"/>
          <w:szCs w:val="28"/>
        </w:rPr>
        <w:t>2014年11月1日，以色列国家文物局专家与民族历史学交叉学科部分教师在学术活动中心四层会议室举行“考古与中亚、中东历史研究”小型研讨会。以色列专家Pnina</w:t>
      </w:r>
      <w:r w:rsidR="006514D6" w:rsidRPr="006514D6">
        <w:rPr>
          <w:rFonts w:ascii="宋体" w:eastAsia="宋体" w:hAnsi="宋体" w:cs="宋体" w:hint="eastAsia"/>
          <w:sz w:val="28"/>
          <w:szCs w:val="28"/>
        </w:rPr>
        <w:t> </w:t>
      </w:r>
      <w:r w:rsidR="006514D6" w:rsidRPr="006514D6">
        <w:rPr>
          <w:rFonts w:ascii="仿宋" w:eastAsia="仿宋" w:hAnsi="仿宋" w:cs="仿宋" w:hint="eastAsia"/>
          <w:sz w:val="28"/>
          <w:szCs w:val="28"/>
        </w:rPr>
        <w:t>Shor</w:t>
      </w:r>
      <w:r w:rsidR="006514D6" w:rsidRPr="006514D6">
        <w:rPr>
          <w:rFonts w:ascii="仿宋" w:eastAsia="仿宋" w:hAnsi="仿宋" w:hint="eastAsia"/>
          <w:sz w:val="28"/>
          <w:szCs w:val="28"/>
        </w:rPr>
        <w:t>教授、Yigal</w:t>
      </w:r>
      <w:r w:rsidR="006514D6" w:rsidRPr="006514D6">
        <w:rPr>
          <w:rFonts w:ascii="宋体" w:eastAsia="宋体" w:hAnsi="宋体" w:cs="宋体" w:hint="eastAsia"/>
          <w:sz w:val="28"/>
          <w:szCs w:val="28"/>
        </w:rPr>
        <w:t> </w:t>
      </w:r>
      <w:r w:rsidR="006514D6" w:rsidRPr="006514D6">
        <w:rPr>
          <w:rFonts w:ascii="仿宋" w:eastAsia="仿宋" w:hAnsi="仿宋" w:cs="仿宋" w:hint="eastAsia"/>
          <w:sz w:val="28"/>
          <w:szCs w:val="28"/>
        </w:rPr>
        <w:t>I</w:t>
      </w:r>
      <w:r w:rsidR="006514D6" w:rsidRPr="006514D6">
        <w:rPr>
          <w:rFonts w:ascii="仿宋" w:eastAsia="仿宋" w:hAnsi="仿宋" w:hint="eastAsia"/>
          <w:sz w:val="28"/>
          <w:szCs w:val="28"/>
        </w:rPr>
        <w:t>srael教授和Emanuel</w:t>
      </w:r>
      <w:r w:rsidR="006514D6" w:rsidRPr="006514D6">
        <w:rPr>
          <w:rFonts w:ascii="宋体" w:eastAsia="宋体" w:hAnsi="宋体" w:cs="宋体" w:hint="eastAsia"/>
          <w:sz w:val="28"/>
          <w:szCs w:val="28"/>
        </w:rPr>
        <w:t> </w:t>
      </w:r>
      <w:r w:rsidR="006514D6" w:rsidRPr="006514D6">
        <w:rPr>
          <w:rFonts w:ascii="仿宋" w:eastAsia="仿宋" w:hAnsi="仿宋" w:cs="仿宋" w:hint="eastAsia"/>
          <w:sz w:val="28"/>
          <w:szCs w:val="28"/>
        </w:rPr>
        <w:t>Eisenberg</w:t>
      </w:r>
      <w:r w:rsidR="006514D6" w:rsidRPr="006514D6">
        <w:rPr>
          <w:rFonts w:ascii="仿宋" w:eastAsia="仿宋" w:hAnsi="仿宋" w:hint="eastAsia"/>
          <w:sz w:val="28"/>
          <w:szCs w:val="28"/>
        </w:rPr>
        <w:t>教授。主要对出土的中亚、中东考古资料对中亚、中东历史研究的影响，特别是如何有效地收集利用外国考古资料进行了研讨交流，与会老师深感启发颇多。</w:t>
      </w:r>
    </w:p>
    <w:p w:rsidR="006514D6" w:rsidRPr="00E07235" w:rsidRDefault="006514D6" w:rsidP="00E6089F">
      <w:pPr>
        <w:autoSpaceDN w:val="0"/>
        <w:spacing w:line="240" w:lineRule="atLeast"/>
        <w:ind w:firstLineChars="200" w:firstLine="420"/>
        <w:rPr>
          <w:color w:val="000000"/>
        </w:rPr>
      </w:pPr>
      <w:r>
        <w:rPr>
          <w:noProof/>
          <w:color w:val="000000"/>
        </w:rPr>
        <w:lastRenderedPageBreak/>
        <w:drawing>
          <wp:anchor distT="0" distB="0" distL="114300" distR="114300" simplePos="0" relativeHeight="251659264" behindDoc="1" locked="0" layoutInCell="1" allowOverlap="1">
            <wp:simplePos x="0" y="0"/>
            <wp:positionH relativeFrom="column">
              <wp:posOffset>409575</wp:posOffset>
            </wp:positionH>
            <wp:positionV relativeFrom="paragraph">
              <wp:posOffset>41910</wp:posOffset>
            </wp:positionV>
            <wp:extent cx="4629150" cy="3086100"/>
            <wp:effectExtent l="19050" t="0" r="0" b="0"/>
            <wp:wrapTight wrapText="bothSides">
              <wp:wrapPolygon edited="0">
                <wp:start x="-89" y="0"/>
                <wp:lineTo x="-89" y="21467"/>
                <wp:lineTo x="21600" y="21467"/>
                <wp:lineTo x="21600" y="0"/>
                <wp:lineTo x="-89" y="0"/>
              </wp:wrapPolygon>
            </wp:wrapTight>
            <wp:docPr id="2" name="图片 2" descr="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22(1)"/>
                    <pic:cNvPicPr>
                      <a:picLocks noChangeAspect="1" noChangeArrowheads="1"/>
                    </pic:cNvPicPr>
                  </pic:nvPicPr>
                  <pic:blipFill>
                    <a:blip r:embed="rId8" cstate="print"/>
                    <a:srcRect/>
                    <a:stretch>
                      <a:fillRect/>
                    </a:stretch>
                  </pic:blipFill>
                  <pic:spPr bwMode="auto">
                    <a:xfrm>
                      <a:off x="0" y="0"/>
                      <a:ext cx="4629150" cy="3086100"/>
                    </a:xfrm>
                    <a:prstGeom prst="rect">
                      <a:avLst/>
                    </a:prstGeom>
                    <a:noFill/>
                    <a:ln w="9525">
                      <a:noFill/>
                      <a:miter lim="800000"/>
                      <a:headEnd/>
                      <a:tailEnd/>
                    </a:ln>
                  </pic:spPr>
                </pic:pic>
              </a:graphicData>
            </a:graphic>
          </wp:anchor>
        </w:drawing>
      </w:r>
    </w:p>
    <w:p w:rsidR="00476050" w:rsidRDefault="00476050" w:rsidP="00E6089F">
      <w:pPr>
        <w:autoSpaceDN w:val="0"/>
        <w:spacing w:line="240" w:lineRule="atLeast"/>
        <w:ind w:left="360" w:firstLineChars="200" w:firstLine="420"/>
        <w:jc w:val="center"/>
        <w:rPr>
          <w:rFonts w:asciiTheme="minorEastAsia" w:hAnsiTheme="minorEastAsia"/>
          <w:bCs/>
          <w:color w:val="000000"/>
          <w:szCs w:val="21"/>
        </w:rPr>
      </w:pPr>
    </w:p>
    <w:p w:rsidR="00476050" w:rsidRDefault="00476050" w:rsidP="00E6089F">
      <w:pPr>
        <w:autoSpaceDN w:val="0"/>
        <w:spacing w:line="240" w:lineRule="atLeast"/>
        <w:ind w:left="360" w:firstLineChars="200" w:firstLine="420"/>
        <w:jc w:val="center"/>
        <w:rPr>
          <w:rFonts w:asciiTheme="minorEastAsia" w:hAnsiTheme="minorEastAsia"/>
          <w:bCs/>
          <w:color w:val="000000"/>
          <w:szCs w:val="21"/>
        </w:rPr>
      </w:pPr>
    </w:p>
    <w:p w:rsidR="00476050" w:rsidRDefault="00476050" w:rsidP="00E6089F">
      <w:pPr>
        <w:autoSpaceDN w:val="0"/>
        <w:spacing w:line="240" w:lineRule="atLeast"/>
        <w:ind w:left="360" w:firstLineChars="200" w:firstLine="420"/>
        <w:jc w:val="center"/>
        <w:rPr>
          <w:rFonts w:asciiTheme="minorEastAsia" w:hAnsiTheme="minorEastAsia"/>
          <w:bCs/>
          <w:color w:val="000000"/>
          <w:szCs w:val="21"/>
        </w:rPr>
      </w:pPr>
    </w:p>
    <w:p w:rsidR="00476050" w:rsidRDefault="00476050" w:rsidP="00E6089F">
      <w:pPr>
        <w:autoSpaceDN w:val="0"/>
        <w:spacing w:line="240" w:lineRule="atLeast"/>
        <w:ind w:left="360" w:firstLineChars="200" w:firstLine="420"/>
        <w:jc w:val="center"/>
        <w:rPr>
          <w:rFonts w:asciiTheme="minorEastAsia" w:hAnsiTheme="minorEastAsia"/>
          <w:bCs/>
          <w:color w:val="000000"/>
          <w:szCs w:val="21"/>
        </w:rPr>
      </w:pPr>
    </w:p>
    <w:p w:rsidR="00476050" w:rsidRDefault="00476050" w:rsidP="00E6089F">
      <w:pPr>
        <w:autoSpaceDN w:val="0"/>
        <w:spacing w:line="240" w:lineRule="atLeast"/>
        <w:ind w:left="360" w:firstLineChars="200" w:firstLine="420"/>
        <w:jc w:val="center"/>
        <w:rPr>
          <w:rFonts w:asciiTheme="minorEastAsia" w:hAnsiTheme="minorEastAsia"/>
          <w:bCs/>
          <w:color w:val="000000"/>
          <w:szCs w:val="21"/>
        </w:rPr>
      </w:pPr>
    </w:p>
    <w:p w:rsidR="00476050" w:rsidRDefault="00476050" w:rsidP="00E6089F">
      <w:pPr>
        <w:autoSpaceDN w:val="0"/>
        <w:spacing w:line="240" w:lineRule="atLeast"/>
        <w:ind w:left="360" w:firstLineChars="200" w:firstLine="420"/>
        <w:jc w:val="center"/>
        <w:rPr>
          <w:rFonts w:asciiTheme="minorEastAsia" w:hAnsiTheme="minorEastAsia"/>
          <w:bCs/>
          <w:color w:val="000000"/>
          <w:szCs w:val="21"/>
        </w:rPr>
      </w:pPr>
    </w:p>
    <w:p w:rsidR="00476050" w:rsidRDefault="00476050" w:rsidP="00E6089F">
      <w:pPr>
        <w:autoSpaceDN w:val="0"/>
        <w:spacing w:line="240" w:lineRule="atLeast"/>
        <w:ind w:left="360" w:firstLineChars="200" w:firstLine="420"/>
        <w:jc w:val="center"/>
        <w:rPr>
          <w:rFonts w:asciiTheme="minorEastAsia" w:hAnsiTheme="minorEastAsia"/>
          <w:bCs/>
          <w:color w:val="000000"/>
          <w:szCs w:val="21"/>
        </w:rPr>
      </w:pPr>
    </w:p>
    <w:p w:rsidR="00476050" w:rsidRDefault="00476050" w:rsidP="00E6089F">
      <w:pPr>
        <w:autoSpaceDN w:val="0"/>
        <w:spacing w:line="240" w:lineRule="atLeast"/>
        <w:ind w:left="360" w:firstLineChars="200" w:firstLine="420"/>
        <w:jc w:val="center"/>
        <w:rPr>
          <w:rFonts w:asciiTheme="minorEastAsia" w:hAnsiTheme="minorEastAsia"/>
          <w:bCs/>
          <w:color w:val="000000"/>
          <w:szCs w:val="21"/>
        </w:rPr>
      </w:pPr>
    </w:p>
    <w:p w:rsidR="00476050" w:rsidRDefault="00476050" w:rsidP="00E6089F">
      <w:pPr>
        <w:autoSpaceDN w:val="0"/>
        <w:spacing w:line="240" w:lineRule="atLeast"/>
        <w:ind w:left="360" w:firstLineChars="200" w:firstLine="420"/>
        <w:jc w:val="center"/>
        <w:rPr>
          <w:rFonts w:asciiTheme="minorEastAsia" w:hAnsiTheme="minorEastAsia"/>
          <w:bCs/>
          <w:color w:val="000000"/>
          <w:szCs w:val="21"/>
        </w:rPr>
      </w:pPr>
    </w:p>
    <w:p w:rsidR="00476050" w:rsidRDefault="00476050" w:rsidP="00E6089F">
      <w:pPr>
        <w:autoSpaceDN w:val="0"/>
        <w:spacing w:line="240" w:lineRule="atLeast"/>
        <w:ind w:left="360" w:firstLineChars="200" w:firstLine="420"/>
        <w:jc w:val="center"/>
        <w:rPr>
          <w:rFonts w:asciiTheme="minorEastAsia" w:hAnsiTheme="minorEastAsia"/>
          <w:bCs/>
          <w:color w:val="000000"/>
          <w:szCs w:val="21"/>
        </w:rPr>
      </w:pPr>
    </w:p>
    <w:p w:rsidR="00476050" w:rsidRDefault="00476050" w:rsidP="00E6089F">
      <w:pPr>
        <w:autoSpaceDN w:val="0"/>
        <w:spacing w:line="240" w:lineRule="atLeast"/>
        <w:ind w:left="360" w:firstLineChars="200" w:firstLine="420"/>
        <w:jc w:val="center"/>
        <w:rPr>
          <w:rFonts w:asciiTheme="minorEastAsia" w:hAnsiTheme="minorEastAsia"/>
          <w:bCs/>
          <w:color w:val="000000"/>
          <w:szCs w:val="21"/>
        </w:rPr>
      </w:pPr>
    </w:p>
    <w:p w:rsidR="00476050" w:rsidRDefault="00476050" w:rsidP="00E6089F">
      <w:pPr>
        <w:autoSpaceDN w:val="0"/>
        <w:spacing w:line="240" w:lineRule="atLeast"/>
        <w:ind w:left="360" w:firstLineChars="200" w:firstLine="420"/>
        <w:jc w:val="center"/>
        <w:rPr>
          <w:rFonts w:asciiTheme="minorEastAsia" w:hAnsiTheme="minorEastAsia"/>
          <w:bCs/>
          <w:color w:val="000000"/>
          <w:szCs w:val="21"/>
        </w:rPr>
      </w:pPr>
    </w:p>
    <w:p w:rsidR="00476050" w:rsidRDefault="00476050" w:rsidP="00E6089F">
      <w:pPr>
        <w:autoSpaceDN w:val="0"/>
        <w:spacing w:line="240" w:lineRule="atLeast"/>
        <w:ind w:left="360" w:firstLineChars="200" w:firstLine="420"/>
        <w:jc w:val="center"/>
        <w:rPr>
          <w:rFonts w:asciiTheme="minorEastAsia" w:hAnsiTheme="minorEastAsia"/>
          <w:bCs/>
          <w:color w:val="000000"/>
          <w:szCs w:val="21"/>
        </w:rPr>
      </w:pPr>
    </w:p>
    <w:p w:rsidR="00476050" w:rsidRDefault="00476050" w:rsidP="00E6089F">
      <w:pPr>
        <w:autoSpaceDN w:val="0"/>
        <w:spacing w:line="240" w:lineRule="atLeast"/>
        <w:ind w:left="360" w:firstLineChars="200" w:firstLine="420"/>
        <w:jc w:val="center"/>
        <w:rPr>
          <w:rFonts w:asciiTheme="minorEastAsia" w:hAnsiTheme="minorEastAsia"/>
          <w:bCs/>
          <w:color w:val="000000"/>
          <w:szCs w:val="21"/>
        </w:rPr>
      </w:pPr>
    </w:p>
    <w:p w:rsidR="00476050" w:rsidRDefault="00476050" w:rsidP="00E6089F">
      <w:pPr>
        <w:autoSpaceDN w:val="0"/>
        <w:spacing w:line="240" w:lineRule="atLeast"/>
        <w:ind w:left="360" w:firstLineChars="200" w:firstLine="420"/>
        <w:jc w:val="center"/>
        <w:rPr>
          <w:rFonts w:asciiTheme="minorEastAsia" w:hAnsiTheme="minorEastAsia"/>
          <w:bCs/>
          <w:color w:val="000000"/>
          <w:szCs w:val="21"/>
        </w:rPr>
      </w:pPr>
    </w:p>
    <w:p w:rsidR="006514D6" w:rsidRPr="00476050" w:rsidRDefault="006514D6" w:rsidP="00E6089F">
      <w:pPr>
        <w:autoSpaceDN w:val="0"/>
        <w:spacing w:line="240" w:lineRule="atLeast"/>
        <w:ind w:left="360" w:firstLineChars="200" w:firstLine="420"/>
        <w:jc w:val="center"/>
        <w:rPr>
          <w:rFonts w:ascii="楷体" w:eastAsia="楷体" w:hAnsi="楷体"/>
          <w:color w:val="000000"/>
          <w:szCs w:val="21"/>
        </w:rPr>
      </w:pPr>
      <w:r w:rsidRPr="00476050">
        <w:rPr>
          <w:rFonts w:ascii="楷体" w:eastAsia="楷体" w:hAnsi="楷体" w:hint="eastAsia"/>
          <w:bCs/>
          <w:color w:val="000000"/>
          <w:szCs w:val="21"/>
        </w:rPr>
        <w:t>“考古与中亚、中东历史研究”研讨会会场</w:t>
      </w:r>
    </w:p>
    <w:p w:rsidR="00476050" w:rsidRPr="00476050" w:rsidRDefault="00E6089F" w:rsidP="00E6089F">
      <w:pPr>
        <w:pStyle w:val="a5"/>
        <w:spacing w:line="480" w:lineRule="exact"/>
        <w:ind w:firstLine="560"/>
        <w:rPr>
          <w:rFonts w:ascii="仿宋" w:eastAsia="仿宋" w:hAnsi="仿宋"/>
          <w:sz w:val="28"/>
          <w:szCs w:val="28"/>
        </w:rPr>
      </w:pPr>
      <w:r>
        <w:rPr>
          <w:rFonts w:ascii="仿宋" w:eastAsia="仿宋" w:hAnsi="仿宋" w:hint="eastAsia"/>
          <w:sz w:val="28"/>
          <w:szCs w:val="28"/>
        </w:rPr>
        <w:t>3.</w:t>
      </w:r>
      <w:r w:rsidR="006514D6" w:rsidRPr="00476050">
        <w:rPr>
          <w:rFonts w:ascii="仿宋" w:eastAsia="仿宋" w:hAnsi="仿宋" w:hint="eastAsia"/>
          <w:sz w:val="28"/>
          <w:szCs w:val="28"/>
        </w:rPr>
        <w:t>2014年11月28日，应吉尔吉斯共和国议会外交事务委员会和吉尔吉斯共和国国家战略研究所的邀请，李琪教授参加在吉尔吉斯斯坦首都比什凯克举行的“丝绸之路沿线国家的共同发展与繁荣”国际学术会议，并作大会发言。</w:t>
      </w:r>
    </w:p>
    <w:p w:rsidR="006514D6" w:rsidRPr="00E07235" w:rsidRDefault="006514D6" w:rsidP="00E6089F">
      <w:pPr>
        <w:autoSpaceDN w:val="0"/>
        <w:spacing w:line="240" w:lineRule="atLeast"/>
        <w:ind w:left="360" w:firstLineChars="200" w:firstLine="420"/>
        <w:rPr>
          <w:rFonts w:ascii="宋体" w:hAnsi="宋体"/>
          <w:color w:val="000000"/>
        </w:rPr>
      </w:pPr>
      <w:r>
        <w:rPr>
          <w:rFonts w:ascii="宋体" w:hAnsi="宋体"/>
          <w:noProof/>
          <w:color w:val="000000"/>
        </w:rPr>
        <w:drawing>
          <wp:anchor distT="0" distB="0" distL="114300" distR="114300" simplePos="0" relativeHeight="251660288" behindDoc="1" locked="0" layoutInCell="1" allowOverlap="1">
            <wp:simplePos x="0" y="0"/>
            <wp:positionH relativeFrom="column">
              <wp:posOffset>285750</wp:posOffset>
            </wp:positionH>
            <wp:positionV relativeFrom="paragraph">
              <wp:posOffset>95250</wp:posOffset>
            </wp:positionV>
            <wp:extent cx="4886325" cy="3381375"/>
            <wp:effectExtent l="19050" t="0" r="9525" b="0"/>
            <wp:wrapTight wrapText="bothSides">
              <wp:wrapPolygon edited="0">
                <wp:start x="-84" y="0"/>
                <wp:lineTo x="-84" y="21539"/>
                <wp:lineTo x="21642" y="21539"/>
                <wp:lineTo x="21642" y="0"/>
                <wp:lineTo x="-84" y="0"/>
              </wp:wrapPolygon>
            </wp:wrapTight>
            <wp:docPr id="3" name="图片 3" descr="_36424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_364240001"/>
                    <pic:cNvPicPr>
                      <a:picLocks noChangeAspect="1" noChangeArrowheads="1"/>
                    </pic:cNvPicPr>
                  </pic:nvPicPr>
                  <pic:blipFill>
                    <a:blip r:embed="rId9"/>
                    <a:srcRect/>
                    <a:stretch>
                      <a:fillRect/>
                    </a:stretch>
                  </pic:blipFill>
                  <pic:spPr bwMode="auto">
                    <a:xfrm>
                      <a:off x="0" y="0"/>
                      <a:ext cx="4886325" cy="3381375"/>
                    </a:xfrm>
                    <a:prstGeom prst="rect">
                      <a:avLst/>
                    </a:prstGeom>
                    <a:noFill/>
                    <a:ln w="9525">
                      <a:noFill/>
                      <a:miter lim="800000"/>
                      <a:headEnd/>
                      <a:tailEnd/>
                    </a:ln>
                  </pic:spPr>
                </pic:pic>
              </a:graphicData>
            </a:graphic>
          </wp:anchor>
        </w:drawing>
      </w:r>
    </w:p>
    <w:p w:rsidR="00476050" w:rsidRDefault="00476050" w:rsidP="00E6089F">
      <w:pPr>
        <w:autoSpaceDN w:val="0"/>
        <w:spacing w:line="240" w:lineRule="atLeast"/>
        <w:ind w:left="360" w:firstLineChars="200" w:firstLine="482"/>
        <w:jc w:val="center"/>
        <w:rPr>
          <w:rFonts w:ascii="宋体" w:hAnsi="宋体"/>
          <w:b/>
          <w:color w:val="000000"/>
          <w:sz w:val="24"/>
          <w:szCs w:val="24"/>
        </w:rPr>
      </w:pPr>
    </w:p>
    <w:p w:rsidR="00476050" w:rsidRDefault="00476050" w:rsidP="00E6089F">
      <w:pPr>
        <w:autoSpaceDN w:val="0"/>
        <w:spacing w:line="240" w:lineRule="atLeast"/>
        <w:ind w:left="360" w:firstLineChars="200" w:firstLine="482"/>
        <w:jc w:val="center"/>
        <w:rPr>
          <w:rFonts w:ascii="宋体" w:hAnsi="宋体"/>
          <w:b/>
          <w:color w:val="000000"/>
          <w:sz w:val="24"/>
          <w:szCs w:val="24"/>
        </w:rPr>
      </w:pPr>
    </w:p>
    <w:p w:rsidR="00476050" w:rsidRDefault="00476050" w:rsidP="00E6089F">
      <w:pPr>
        <w:autoSpaceDN w:val="0"/>
        <w:spacing w:line="240" w:lineRule="atLeast"/>
        <w:ind w:left="360" w:firstLineChars="200" w:firstLine="482"/>
        <w:jc w:val="center"/>
        <w:rPr>
          <w:rFonts w:ascii="宋体" w:hAnsi="宋体"/>
          <w:b/>
          <w:color w:val="000000"/>
          <w:sz w:val="24"/>
          <w:szCs w:val="24"/>
        </w:rPr>
      </w:pPr>
    </w:p>
    <w:p w:rsidR="00476050" w:rsidRDefault="00476050" w:rsidP="00E6089F">
      <w:pPr>
        <w:autoSpaceDN w:val="0"/>
        <w:spacing w:line="240" w:lineRule="atLeast"/>
        <w:ind w:left="360" w:firstLineChars="200" w:firstLine="482"/>
        <w:jc w:val="center"/>
        <w:rPr>
          <w:rFonts w:ascii="宋体" w:hAnsi="宋体"/>
          <w:b/>
          <w:color w:val="000000"/>
          <w:sz w:val="24"/>
          <w:szCs w:val="24"/>
        </w:rPr>
      </w:pPr>
    </w:p>
    <w:p w:rsidR="00476050" w:rsidRDefault="00476050" w:rsidP="00E6089F">
      <w:pPr>
        <w:autoSpaceDN w:val="0"/>
        <w:spacing w:line="240" w:lineRule="atLeast"/>
        <w:ind w:left="360" w:firstLineChars="200" w:firstLine="482"/>
        <w:jc w:val="center"/>
        <w:rPr>
          <w:rFonts w:ascii="宋体" w:hAnsi="宋体"/>
          <w:b/>
          <w:color w:val="000000"/>
          <w:sz w:val="24"/>
          <w:szCs w:val="24"/>
        </w:rPr>
      </w:pPr>
    </w:p>
    <w:p w:rsidR="00476050" w:rsidRDefault="00476050" w:rsidP="00E6089F">
      <w:pPr>
        <w:autoSpaceDN w:val="0"/>
        <w:spacing w:line="240" w:lineRule="atLeast"/>
        <w:ind w:left="360" w:firstLineChars="200" w:firstLine="482"/>
        <w:jc w:val="center"/>
        <w:rPr>
          <w:rFonts w:ascii="宋体" w:hAnsi="宋体"/>
          <w:b/>
          <w:color w:val="000000"/>
          <w:sz w:val="24"/>
          <w:szCs w:val="24"/>
        </w:rPr>
      </w:pPr>
    </w:p>
    <w:p w:rsidR="00476050" w:rsidRDefault="00476050" w:rsidP="00E6089F">
      <w:pPr>
        <w:autoSpaceDN w:val="0"/>
        <w:spacing w:line="240" w:lineRule="atLeast"/>
        <w:ind w:left="360" w:firstLineChars="200" w:firstLine="482"/>
        <w:jc w:val="center"/>
        <w:rPr>
          <w:rFonts w:ascii="宋体" w:hAnsi="宋体"/>
          <w:b/>
          <w:color w:val="000000"/>
          <w:sz w:val="24"/>
          <w:szCs w:val="24"/>
        </w:rPr>
      </w:pPr>
    </w:p>
    <w:p w:rsidR="00476050" w:rsidRDefault="00476050" w:rsidP="00E6089F">
      <w:pPr>
        <w:autoSpaceDN w:val="0"/>
        <w:spacing w:line="240" w:lineRule="atLeast"/>
        <w:ind w:left="360" w:firstLineChars="200" w:firstLine="482"/>
        <w:jc w:val="center"/>
        <w:rPr>
          <w:rFonts w:ascii="宋体" w:hAnsi="宋体"/>
          <w:b/>
          <w:color w:val="000000"/>
          <w:sz w:val="24"/>
          <w:szCs w:val="24"/>
        </w:rPr>
      </w:pPr>
    </w:p>
    <w:p w:rsidR="00476050" w:rsidRDefault="00476050" w:rsidP="00E6089F">
      <w:pPr>
        <w:autoSpaceDN w:val="0"/>
        <w:spacing w:line="240" w:lineRule="atLeast"/>
        <w:ind w:left="360" w:firstLineChars="200" w:firstLine="482"/>
        <w:jc w:val="center"/>
        <w:rPr>
          <w:rFonts w:ascii="宋体" w:hAnsi="宋体"/>
          <w:b/>
          <w:color w:val="000000"/>
          <w:sz w:val="24"/>
          <w:szCs w:val="24"/>
        </w:rPr>
      </w:pPr>
    </w:p>
    <w:p w:rsidR="00476050" w:rsidRDefault="00476050" w:rsidP="00E6089F">
      <w:pPr>
        <w:autoSpaceDN w:val="0"/>
        <w:spacing w:line="240" w:lineRule="atLeast"/>
        <w:ind w:left="360" w:firstLineChars="200" w:firstLine="482"/>
        <w:jc w:val="center"/>
        <w:rPr>
          <w:rFonts w:ascii="宋体" w:hAnsi="宋体"/>
          <w:b/>
          <w:color w:val="000000"/>
          <w:sz w:val="24"/>
          <w:szCs w:val="24"/>
        </w:rPr>
      </w:pPr>
    </w:p>
    <w:p w:rsidR="00476050" w:rsidRDefault="00476050" w:rsidP="00E6089F">
      <w:pPr>
        <w:autoSpaceDN w:val="0"/>
        <w:spacing w:line="240" w:lineRule="atLeast"/>
        <w:ind w:left="360" w:firstLineChars="200" w:firstLine="482"/>
        <w:jc w:val="center"/>
        <w:rPr>
          <w:rFonts w:ascii="宋体" w:hAnsi="宋体"/>
          <w:b/>
          <w:color w:val="000000"/>
          <w:sz w:val="24"/>
          <w:szCs w:val="24"/>
        </w:rPr>
      </w:pPr>
    </w:p>
    <w:p w:rsidR="00476050" w:rsidRDefault="00476050" w:rsidP="00E6089F">
      <w:pPr>
        <w:autoSpaceDN w:val="0"/>
        <w:spacing w:line="240" w:lineRule="atLeast"/>
        <w:ind w:left="360" w:firstLineChars="200" w:firstLine="482"/>
        <w:jc w:val="center"/>
        <w:rPr>
          <w:rFonts w:ascii="宋体" w:hAnsi="宋体"/>
          <w:b/>
          <w:color w:val="000000"/>
          <w:sz w:val="24"/>
          <w:szCs w:val="24"/>
        </w:rPr>
      </w:pPr>
    </w:p>
    <w:p w:rsidR="00476050" w:rsidRDefault="00476050" w:rsidP="00E6089F">
      <w:pPr>
        <w:autoSpaceDN w:val="0"/>
        <w:spacing w:line="240" w:lineRule="atLeast"/>
        <w:ind w:left="360" w:firstLineChars="200" w:firstLine="482"/>
        <w:jc w:val="center"/>
        <w:rPr>
          <w:rFonts w:ascii="宋体" w:hAnsi="宋体"/>
          <w:b/>
          <w:color w:val="000000"/>
          <w:sz w:val="24"/>
          <w:szCs w:val="24"/>
        </w:rPr>
      </w:pPr>
    </w:p>
    <w:p w:rsidR="00476050" w:rsidRDefault="00476050" w:rsidP="00E6089F">
      <w:pPr>
        <w:autoSpaceDN w:val="0"/>
        <w:spacing w:line="240" w:lineRule="atLeast"/>
        <w:ind w:left="360" w:firstLineChars="200" w:firstLine="482"/>
        <w:jc w:val="center"/>
        <w:rPr>
          <w:rFonts w:ascii="宋体" w:hAnsi="宋体"/>
          <w:b/>
          <w:color w:val="000000"/>
          <w:sz w:val="24"/>
          <w:szCs w:val="24"/>
        </w:rPr>
      </w:pPr>
    </w:p>
    <w:p w:rsidR="00476050" w:rsidRDefault="00476050" w:rsidP="00E6089F">
      <w:pPr>
        <w:autoSpaceDN w:val="0"/>
        <w:spacing w:line="240" w:lineRule="atLeast"/>
        <w:ind w:left="360" w:firstLineChars="200" w:firstLine="482"/>
        <w:jc w:val="center"/>
        <w:rPr>
          <w:rFonts w:ascii="宋体" w:hAnsi="宋体"/>
          <w:b/>
          <w:color w:val="000000"/>
          <w:sz w:val="24"/>
          <w:szCs w:val="24"/>
        </w:rPr>
      </w:pPr>
    </w:p>
    <w:p w:rsidR="00476050" w:rsidRDefault="00476050" w:rsidP="00E6089F">
      <w:pPr>
        <w:autoSpaceDN w:val="0"/>
        <w:spacing w:line="240" w:lineRule="atLeast"/>
        <w:ind w:left="360" w:firstLineChars="200" w:firstLine="482"/>
        <w:jc w:val="center"/>
        <w:rPr>
          <w:rFonts w:ascii="宋体" w:hAnsi="宋体"/>
          <w:b/>
          <w:color w:val="000000"/>
          <w:sz w:val="24"/>
          <w:szCs w:val="24"/>
        </w:rPr>
      </w:pPr>
    </w:p>
    <w:p w:rsidR="00476050" w:rsidRDefault="00476050" w:rsidP="00E6089F">
      <w:pPr>
        <w:autoSpaceDN w:val="0"/>
        <w:spacing w:line="240" w:lineRule="atLeast"/>
        <w:ind w:left="360" w:firstLineChars="200" w:firstLine="482"/>
        <w:jc w:val="center"/>
        <w:rPr>
          <w:rFonts w:ascii="宋体" w:hAnsi="宋体"/>
          <w:b/>
          <w:color w:val="000000"/>
          <w:sz w:val="24"/>
          <w:szCs w:val="24"/>
        </w:rPr>
      </w:pPr>
    </w:p>
    <w:p w:rsidR="006514D6" w:rsidRPr="00476050" w:rsidRDefault="006514D6" w:rsidP="00E6089F">
      <w:pPr>
        <w:autoSpaceDN w:val="0"/>
        <w:spacing w:line="240" w:lineRule="atLeast"/>
        <w:ind w:left="360" w:firstLineChars="200" w:firstLine="420"/>
        <w:jc w:val="center"/>
        <w:rPr>
          <w:rFonts w:ascii="楷体" w:eastAsia="楷体" w:hAnsi="楷体"/>
          <w:bCs/>
          <w:color w:val="000000"/>
          <w:szCs w:val="21"/>
        </w:rPr>
      </w:pPr>
      <w:r w:rsidRPr="00476050">
        <w:rPr>
          <w:rFonts w:ascii="楷体" w:eastAsia="楷体" w:hAnsi="楷体" w:hint="eastAsia"/>
          <w:bCs/>
          <w:color w:val="000000"/>
          <w:szCs w:val="21"/>
        </w:rPr>
        <w:t>李琪教授在作大会发言</w:t>
      </w:r>
    </w:p>
    <w:p w:rsidR="006514D6" w:rsidRDefault="00E6089F" w:rsidP="00E6089F">
      <w:pPr>
        <w:pStyle w:val="a5"/>
        <w:autoSpaceDN w:val="0"/>
        <w:spacing w:line="480" w:lineRule="exact"/>
        <w:ind w:firstLine="560"/>
        <w:rPr>
          <w:rFonts w:ascii="仿宋" w:eastAsia="仿宋" w:hAnsi="仿宋"/>
          <w:sz w:val="28"/>
          <w:szCs w:val="28"/>
        </w:rPr>
      </w:pPr>
      <w:r>
        <w:rPr>
          <w:rFonts w:ascii="仿宋" w:eastAsia="仿宋" w:hAnsi="仿宋" w:hint="eastAsia"/>
          <w:sz w:val="28"/>
          <w:szCs w:val="28"/>
        </w:rPr>
        <w:t>4.</w:t>
      </w:r>
      <w:r w:rsidR="006514D6" w:rsidRPr="00476050">
        <w:rPr>
          <w:rFonts w:ascii="仿宋" w:eastAsia="仿宋" w:hAnsi="仿宋" w:hint="eastAsia"/>
          <w:sz w:val="28"/>
          <w:szCs w:val="28"/>
        </w:rPr>
        <w:t>2014年6月17-18日，李琪教授、王超副教授应邀参加由吉尔吉</w:t>
      </w:r>
      <w:r w:rsidR="006514D6" w:rsidRPr="00476050">
        <w:rPr>
          <w:rFonts w:ascii="仿宋" w:eastAsia="仿宋" w:hAnsi="仿宋" w:hint="eastAsia"/>
          <w:sz w:val="28"/>
          <w:szCs w:val="28"/>
        </w:rPr>
        <w:lastRenderedPageBreak/>
        <w:t>斯共和国国家科学院东干学与汉学研究中心主办的，“纪念吉尔吉斯共和国国家科学院东干学和汉学研究中心成立60周年暨第二届世界东干学国际学术研讨会”，会议在吉尔吉斯共和国首都比什凯克市举行，两位老师提交论文并作大会发言。</w:t>
      </w:r>
    </w:p>
    <w:p w:rsidR="006514D6" w:rsidRDefault="00E6089F" w:rsidP="00E6089F">
      <w:pPr>
        <w:pStyle w:val="a5"/>
        <w:autoSpaceDN w:val="0"/>
        <w:spacing w:line="480" w:lineRule="exact"/>
        <w:ind w:firstLine="560"/>
        <w:rPr>
          <w:rFonts w:ascii="仿宋" w:eastAsia="仿宋" w:hAnsi="仿宋"/>
          <w:sz w:val="28"/>
          <w:szCs w:val="28"/>
        </w:rPr>
      </w:pPr>
      <w:r>
        <w:rPr>
          <w:rFonts w:ascii="仿宋" w:eastAsia="仿宋" w:hAnsi="仿宋" w:hint="eastAsia"/>
          <w:sz w:val="28"/>
          <w:szCs w:val="28"/>
        </w:rPr>
        <w:t>5.</w:t>
      </w:r>
      <w:r w:rsidR="006514D6" w:rsidRPr="00476050">
        <w:rPr>
          <w:rFonts w:ascii="仿宋" w:eastAsia="仿宋" w:hAnsi="仿宋" w:hint="eastAsia"/>
          <w:sz w:val="28"/>
          <w:szCs w:val="28"/>
        </w:rPr>
        <w:t>2014年10月8-9日，何志龙教授应邀参加伊朗驻华大使馆与北京大学波斯语系联合举办的“伊朗与丝绸之路经济带建设”国际学术研讨会，提交论文并作大会发言。</w:t>
      </w:r>
    </w:p>
    <w:p w:rsidR="006514D6" w:rsidRPr="00476050" w:rsidRDefault="00E6089F" w:rsidP="00E6089F">
      <w:pPr>
        <w:pStyle w:val="a5"/>
        <w:autoSpaceDN w:val="0"/>
        <w:spacing w:line="480" w:lineRule="exact"/>
        <w:ind w:firstLine="560"/>
        <w:rPr>
          <w:rFonts w:ascii="仿宋" w:eastAsia="仿宋" w:hAnsi="仿宋"/>
          <w:sz w:val="28"/>
          <w:szCs w:val="28"/>
        </w:rPr>
      </w:pPr>
      <w:r>
        <w:rPr>
          <w:rFonts w:ascii="仿宋" w:eastAsia="仿宋" w:hAnsi="仿宋" w:hint="eastAsia"/>
          <w:sz w:val="28"/>
          <w:szCs w:val="28"/>
        </w:rPr>
        <w:t>6.</w:t>
      </w:r>
      <w:r w:rsidR="006514D6" w:rsidRPr="00476050">
        <w:rPr>
          <w:rFonts w:ascii="仿宋" w:eastAsia="仿宋" w:hAnsi="仿宋" w:hint="eastAsia"/>
          <w:sz w:val="28"/>
          <w:szCs w:val="28"/>
        </w:rPr>
        <w:t>2014年12月28日，在我校将召开第二届欧亚论坛，来自塔吉克斯坦、乌兹别克斯坦、阿富汗的专家以及北京、上海等地的专家主要针对中亚、中东国家与丝绸之路经济带建设，中亚、中东热点问题及其对丝绸之路经济带建设的影响进行了深入研讨。</w:t>
      </w:r>
    </w:p>
    <w:p w:rsidR="006514D6" w:rsidRPr="003E1083" w:rsidRDefault="006514D6" w:rsidP="006514D6">
      <w:pPr>
        <w:autoSpaceDN w:val="0"/>
        <w:spacing w:line="240" w:lineRule="atLeast"/>
        <w:jc w:val="center"/>
        <w:rPr>
          <w:rFonts w:ascii="宋体" w:hAnsi="宋体"/>
          <w:b/>
          <w:bCs/>
          <w:color w:val="000000"/>
        </w:rPr>
      </w:pPr>
      <w:r>
        <w:rPr>
          <w:rFonts w:ascii="宋体" w:hAnsi="宋体"/>
          <w:b/>
          <w:bCs/>
          <w:noProof/>
          <w:color w:val="000000"/>
        </w:rPr>
        <w:drawing>
          <wp:inline distT="0" distB="0" distL="0" distR="0">
            <wp:extent cx="4419600" cy="2943225"/>
            <wp:effectExtent l="19050" t="0" r="0" b="0"/>
            <wp:docPr id="4" name="图片 4" descr="_DSC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DSC0619"/>
                    <pic:cNvPicPr>
                      <a:picLocks noChangeAspect="1" noChangeArrowheads="1"/>
                    </pic:cNvPicPr>
                  </pic:nvPicPr>
                  <pic:blipFill>
                    <a:blip r:embed="rId10" cstate="print"/>
                    <a:srcRect/>
                    <a:stretch>
                      <a:fillRect/>
                    </a:stretch>
                  </pic:blipFill>
                  <pic:spPr bwMode="auto">
                    <a:xfrm>
                      <a:off x="0" y="0"/>
                      <a:ext cx="4419600" cy="2943225"/>
                    </a:xfrm>
                    <a:prstGeom prst="rect">
                      <a:avLst/>
                    </a:prstGeom>
                    <a:noFill/>
                    <a:ln w="9525">
                      <a:noFill/>
                      <a:miter lim="800000"/>
                      <a:headEnd/>
                      <a:tailEnd/>
                    </a:ln>
                  </pic:spPr>
                </pic:pic>
              </a:graphicData>
            </a:graphic>
          </wp:inline>
        </w:drawing>
      </w:r>
    </w:p>
    <w:p w:rsidR="006514D6" w:rsidRPr="00476050" w:rsidRDefault="006514D6" w:rsidP="006514D6">
      <w:pPr>
        <w:autoSpaceDN w:val="0"/>
        <w:spacing w:line="240" w:lineRule="atLeast"/>
        <w:ind w:left="360" w:hanging="360"/>
        <w:jc w:val="center"/>
        <w:rPr>
          <w:rFonts w:ascii="宋体" w:hAnsi="宋体"/>
          <w:color w:val="000000"/>
          <w:szCs w:val="21"/>
        </w:rPr>
      </w:pPr>
      <w:r w:rsidRPr="00476050">
        <w:rPr>
          <w:rFonts w:ascii="楷体" w:eastAsia="楷体" w:hAnsi="楷体" w:hint="eastAsia"/>
          <w:bCs/>
          <w:color w:val="000000"/>
          <w:szCs w:val="21"/>
        </w:rPr>
        <w:t>第二届欧亚论坛会议场面</w:t>
      </w:r>
    </w:p>
    <w:p w:rsidR="00F1046E" w:rsidRPr="00F1046E" w:rsidRDefault="00F1046E" w:rsidP="009D3BD8">
      <w:pPr>
        <w:spacing w:line="480" w:lineRule="exact"/>
        <w:ind w:firstLineChars="200" w:firstLine="560"/>
        <w:rPr>
          <w:rFonts w:ascii="黑体" w:eastAsia="黑体" w:hAnsi="黑体"/>
          <w:sz w:val="28"/>
          <w:szCs w:val="28"/>
        </w:rPr>
      </w:pPr>
      <w:r w:rsidRPr="00F1046E">
        <w:rPr>
          <w:rFonts w:ascii="黑体" w:eastAsia="黑体" w:hAnsi="黑体" w:hint="eastAsia"/>
          <w:sz w:val="28"/>
          <w:szCs w:val="28"/>
        </w:rPr>
        <w:t>四、民族历史学交叉学科人才培养</w:t>
      </w:r>
    </w:p>
    <w:p w:rsidR="00F1046E" w:rsidRPr="00F1046E" w:rsidRDefault="00F1046E" w:rsidP="00E6089F">
      <w:pPr>
        <w:spacing w:line="480" w:lineRule="exact"/>
        <w:ind w:firstLineChars="200" w:firstLine="560"/>
        <w:rPr>
          <w:rFonts w:ascii="仿宋" w:eastAsia="仿宋" w:hAnsi="仿宋"/>
          <w:sz w:val="28"/>
          <w:szCs w:val="28"/>
        </w:rPr>
      </w:pPr>
      <w:r w:rsidRPr="00F1046E">
        <w:rPr>
          <w:rFonts w:ascii="仿宋" w:eastAsia="仿宋" w:hAnsi="仿宋" w:hint="eastAsia"/>
          <w:sz w:val="28"/>
          <w:szCs w:val="28"/>
        </w:rPr>
        <w:t>2014年以民族历史学交叉学科招收8名硕士研究生，其中4名在历史文化学院。专门制定了民族历史学交叉学科硕士研究生培养方案。另外，将在历史文化学院设“民族历史学交叉教研室”，专门用来进行合作科研和教学。</w:t>
      </w:r>
    </w:p>
    <w:p w:rsidR="00F1046E" w:rsidRPr="00F1046E" w:rsidRDefault="00F1046E" w:rsidP="009D3BD8">
      <w:pPr>
        <w:spacing w:line="480" w:lineRule="exact"/>
        <w:ind w:firstLineChars="200" w:firstLine="560"/>
        <w:rPr>
          <w:rFonts w:ascii="黑体" w:eastAsia="黑体" w:hAnsi="黑体"/>
          <w:sz w:val="28"/>
          <w:szCs w:val="28"/>
        </w:rPr>
      </w:pPr>
      <w:r w:rsidRPr="00F1046E">
        <w:rPr>
          <w:rFonts w:ascii="黑体" w:eastAsia="黑体" w:hAnsi="黑体" w:hint="eastAsia"/>
          <w:sz w:val="28"/>
          <w:szCs w:val="28"/>
        </w:rPr>
        <w:t>五、民族历史学交叉学科未来几年的发展展望</w:t>
      </w:r>
    </w:p>
    <w:p w:rsidR="006514D6" w:rsidRPr="00F1046E" w:rsidRDefault="00F1046E" w:rsidP="00F1046E">
      <w:pPr>
        <w:spacing w:line="480" w:lineRule="exact"/>
        <w:rPr>
          <w:rFonts w:ascii="仿宋" w:eastAsia="仿宋" w:hAnsi="仿宋"/>
          <w:sz w:val="28"/>
          <w:szCs w:val="28"/>
        </w:rPr>
      </w:pPr>
      <w:r w:rsidRPr="00F1046E">
        <w:rPr>
          <w:rFonts w:ascii="仿宋" w:eastAsia="仿宋" w:hAnsi="仿宋" w:hint="eastAsia"/>
          <w:sz w:val="28"/>
          <w:szCs w:val="28"/>
        </w:rPr>
        <w:t xml:space="preserve">    在学科建设方面，进一步探讨建立民族历史学学科的理论体系，</w:t>
      </w:r>
      <w:r w:rsidRPr="00F1046E">
        <w:rPr>
          <w:rFonts w:ascii="仿宋" w:eastAsia="仿宋" w:hAnsi="仿宋" w:hint="eastAsia"/>
          <w:sz w:val="28"/>
          <w:szCs w:val="28"/>
        </w:rPr>
        <w:lastRenderedPageBreak/>
        <w:t>力促民族历史学从隐学逐渐走向显学。在科学研究方面，加大真正的交叉学科研究的力度，产出有一定影响力的成果，特别是把已经规划的体现民族历史学交叉学科特点的“丝绸之路历史文化研究丛书”完成出版。在师资队伍方面，一方面宣传动员校内相关学科的教师加入本交叉学科的研究队伍，另一方面重视本交叉学科人才的引进和补充，力争今年内能够引进一位有语言基础的人才。在人才培养方面，建立完善符合本交叉学科特点的研究生培养方案和机制，同时希望本交叉学科从目前的硕士研究生招生扩大到博士研究生招生。学术交流方面，进一步扩大与国外特别是中亚中东国家的学术交流，逐渐建立我校研究人员及研究生与国外学术研究人员互访交流的常态机制。</w:t>
      </w:r>
    </w:p>
    <w:sectPr w:rsidR="006514D6" w:rsidRPr="00F1046E" w:rsidSect="004D7AF9">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5BB7" w:rsidRDefault="00C55BB7" w:rsidP="00AE1D52">
      <w:r>
        <w:separator/>
      </w:r>
    </w:p>
  </w:endnote>
  <w:endnote w:type="continuationSeparator" w:id="1">
    <w:p w:rsidR="00C55BB7" w:rsidRDefault="00C55BB7" w:rsidP="00AE1D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613831"/>
      <w:docPartObj>
        <w:docPartGallery w:val="Page Numbers (Bottom of Page)"/>
        <w:docPartUnique/>
      </w:docPartObj>
    </w:sdtPr>
    <w:sdtContent>
      <w:p w:rsidR="00633D55" w:rsidRDefault="009F0DE9">
        <w:pPr>
          <w:pStyle w:val="a4"/>
          <w:jc w:val="right"/>
        </w:pPr>
        <w:fldSimple w:instr=" PAGE   \* MERGEFORMAT ">
          <w:r w:rsidR="00EA343B" w:rsidRPr="00EA343B">
            <w:rPr>
              <w:noProof/>
              <w:lang w:val="zh-CN"/>
            </w:rPr>
            <w:t>1</w:t>
          </w:r>
        </w:fldSimple>
      </w:p>
    </w:sdtContent>
  </w:sdt>
  <w:p w:rsidR="00633D55" w:rsidRDefault="00633D5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5BB7" w:rsidRDefault="00C55BB7" w:rsidP="00AE1D52">
      <w:r>
        <w:separator/>
      </w:r>
    </w:p>
  </w:footnote>
  <w:footnote w:type="continuationSeparator" w:id="1">
    <w:p w:rsidR="00C55BB7" w:rsidRDefault="00C55BB7" w:rsidP="00AE1D5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8448A"/>
    <w:multiLevelType w:val="hybridMultilevel"/>
    <w:tmpl w:val="645A5E4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CF3567A"/>
    <w:multiLevelType w:val="hybridMultilevel"/>
    <w:tmpl w:val="C35C27F0"/>
    <w:lvl w:ilvl="0" w:tplc="169EFE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E860866"/>
    <w:multiLevelType w:val="hybridMultilevel"/>
    <w:tmpl w:val="421C9B7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0877261"/>
    <w:multiLevelType w:val="hybridMultilevel"/>
    <w:tmpl w:val="8F40F976"/>
    <w:lvl w:ilvl="0" w:tplc="6BB68BD2">
      <w:start w:val="2"/>
      <w:numFmt w:val="japaneseCounting"/>
      <w:lvlText w:val="（%1）"/>
      <w:lvlJc w:val="left"/>
      <w:pPr>
        <w:ind w:left="1305" w:hanging="88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31F6594F"/>
    <w:multiLevelType w:val="hybridMultilevel"/>
    <w:tmpl w:val="6D0E3C0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7A27244"/>
    <w:multiLevelType w:val="hybridMultilevel"/>
    <w:tmpl w:val="01986DD0"/>
    <w:lvl w:ilvl="0" w:tplc="00529BAE">
      <w:start w:val="1"/>
      <w:numFmt w:val="japaneseCounting"/>
      <w:lvlText w:val="（%1）"/>
      <w:lvlJc w:val="left"/>
      <w:pPr>
        <w:ind w:left="1455" w:hanging="885"/>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6">
    <w:nsid w:val="58157299"/>
    <w:multiLevelType w:val="hybridMultilevel"/>
    <w:tmpl w:val="5CC2085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4040BA2"/>
    <w:multiLevelType w:val="hybridMultilevel"/>
    <w:tmpl w:val="D1042BFC"/>
    <w:lvl w:ilvl="0" w:tplc="6C58FE42">
      <w:start w:val="3"/>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4"/>
  </w:num>
  <w:num w:numId="2">
    <w:abstractNumId w:val="0"/>
  </w:num>
  <w:num w:numId="3">
    <w:abstractNumId w:val="1"/>
  </w:num>
  <w:num w:numId="4">
    <w:abstractNumId w:val="2"/>
  </w:num>
  <w:num w:numId="5">
    <w:abstractNumId w:val="6"/>
  </w:num>
  <w:num w:numId="6">
    <w:abstractNumId w:val="7"/>
  </w:num>
  <w:num w:numId="7">
    <w:abstractNumId w:val="3"/>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843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E1D52"/>
    <w:rsid w:val="00025887"/>
    <w:rsid w:val="001D051B"/>
    <w:rsid w:val="0029052B"/>
    <w:rsid w:val="00476050"/>
    <w:rsid w:val="004D7AF9"/>
    <w:rsid w:val="00633D55"/>
    <w:rsid w:val="00637F71"/>
    <w:rsid w:val="006514D6"/>
    <w:rsid w:val="0095646D"/>
    <w:rsid w:val="009D1D20"/>
    <w:rsid w:val="009D3BD8"/>
    <w:rsid w:val="009F0DE9"/>
    <w:rsid w:val="00A759D0"/>
    <w:rsid w:val="00AE1D52"/>
    <w:rsid w:val="00B606B2"/>
    <w:rsid w:val="00B80B25"/>
    <w:rsid w:val="00C55BB7"/>
    <w:rsid w:val="00D355B5"/>
    <w:rsid w:val="00E215CD"/>
    <w:rsid w:val="00E6089F"/>
    <w:rsid w:val="00EA343B"/>
    <w:rsid w:val="00F1046E"/>
    <w:rsid w:val="00F24FB8"/>
    <w:rsid w:val="00F430A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AF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E1D5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AE1D52"/>
    <w:rPr>
      <w:sz w:val="18"/>
      <w:szCs w:val="18"/>
    </w:rPr>
  </w:style>
  <w:style w:type="paragraph" w:styleId="a4">
    <w:name w:val="footer"/>
    <w:basedOn w:val="a"/>
    <w:link w:val="Char0"/>
    <w:uiPriority w:val="99"/>
    <w:unhideWhenUsed/>
    <w:rsid w:val="00AE1D52"/>
    <w:pPr>
      <w:tabs>
        <w:tab w:val="center" w:pos="4153"/>
        <w:tab w:val="right" w:pos="8306"/>
      </w:tabs>
      <w:snapToGrid w:val="0"/>
      <w:jc w:val="left"/>
    </w:pPr>
    <w:rPr>
      <w:sz w:val="18"/>
      <w:szCs w:val="18"/>
    </w:rPr>
  </w:style>
  <w:style w:type="character" w:customStyle="1" w:styleId="Char0">
    <w:name w:val="页脚 Char"/>
    <w:basedOn w:val="a0"/>
    <w:link w:val="a4"/>
    <w:uiPriority w:val="99"/>
    <w:rsid w:val="00AE1D52"/>
    <w:rPr>
      <w:sz w:val="18"/>
      <w:szCs w:val="18"/>
    </w:rPr>
  </w:style>
  <w:style w:type="paragraph" w:styleId="a5">
    <w:name w:val="List Paragraph"/>
    <w:basedOn w:val="a"/>
    <w:uiPriority w:val="34"/>
    <w:qFormat/>
    <w:rsid w:val="00AE1D52"/>
    <w:pPr>
      <w:ind w:firstLineChars="200" w:firstLine="420"/>
    </w:pPr>
  </w:style>
  <w:style w:type="paragraph" w:styleId="a6">
    <w:name w:val="Balloon Text"/>
    <w:basedOn w:val="a"/>
    <w:link w:val="Char1"/>
    <w:uiPriority w:val="99"/>
    <w:semiHidden/>
    <w:unhideWhenUsed/>
    <w:rsid w:val="006514D6"/>
    <w:rPr>
      <w:sz w:val="18"/>
      <w:szCs w:val="18"/>
    </w:rPr>
  </w:style>
  <w:style w:type="character" w:customStyle="1" w:styleId="Char1">
    <w:name w:val="批注框文本 Char"/>
    <w:basedOn w:val="a0"/>
    <w:link w:val="a6"/>
    <w:uiPriority w:val="99"/>
    <w:semiHidden/>
    <w:rsid w:val="006514D6"/>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Pages>
  <Words>501</Words>
  <Characters>2860</Characters>
  <Application>Microsoft Office Word</Application>
  <DocSecurity>0</DocSecurity>
  <Lines>23</Lines>
  <Paragraphs>6</Paragraphs>
  <ScaleCrop>false</ScaleCrop>
  <Company/>
  <LinksUpToDate>false</LinksUpToDate>
  <CharactersWithSpaces>3355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魏茜</dc:creator>
  <cp:keywords/>
  <dc:description/>
  <cp:lastModifiedBy>魏茜</cp:lastModifiedBy>
  <cp:revision>12</cp:revision>
  <dcterms:created xsi:type="dcterms:W3CDTF">2015-01-22T06:38:00Z</dcterms:created>
  <dcterms:modified xsi:type="dcterms:W3CDTF">2015-01-27T08:32:00Z</dcterms:modified>
</cp:coreProperties>
</file>